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306F27"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A26884">
            <w:pPr>
              <w:pStyle w:val="Header2banner"/>
              <w:spacing w:line="240" w:lineRule="auto"/>
              <w:rPr>
                <w:rFonts w:asciiTheme="minorHAnsi" w:hAnsiTheme="minorHAnsi"/>
              </w:rPr>
            </w:pPr>
            <w:r w:rsidRPr="00DB34C3">
              <w:rPr>
                <w:rFonts w:asciiTheme="minorHAnsi" w:hAnsiTheme="minorHAnsi"/>
              </w:rPr>
              <w:t xml:space="preserve">Lesson </w:t>
            </w:r>
            <w:r w:rsidR="00A26884">
              <w:rPr>
                <w:rFonts w:asciiTheme="minorHAnsi" w:hAnsiTheme="minorHAnsi"/>
              </w:rPr>
              <w:t>9</w:t>
            </w:r>
          </w:p>
        </w:tc>
      </w:tr>
    </w:tbl>
    <w:p w:rsidR="005C4572" w:rsidRDefault="00C4787C" w:rsidP="00E946A0">
      <w:pPr>
        <w:pStyle w:val="Heading1"/>
      </w:pPr>
      <w:r w:rsidRPr="00263AF5">
        <w:t>Introduction</w:t>
      </w:r>
    </w:p>
    <w:p w:rsidR="00AB113E" w:rsidRDefault="00AB113E" w:rsidP="00A53525">
      <w:r>
        <w:t xml:space="preserve">In this lesson, students continue to read </w:t>
      </w:r>
      <w:r w:rsidRPr="00AB113E">
        <w:rPr>
          <w:i/>
        </w:rPr>
        <w:t>The Immortal Life of Henrietta Lacks</w:t>
      </w:r>
      <w:r>
        <w:t>, from “Various spokespeople for Johns Hopkins</w:t>
      </w:r>
      <w:r w:rsidR="000E7A73">
        <w:t>, including at least one past university president</w:t>
      </w:r>
      <w:r>
        <w:t xml:space="preserve">” to “But there was no </w:t>
      </w:r>
      <w:r w:rsidR="00CE18E8">
        <w:t xml:space="preserve">such </w:t>
      </w:r>
      <w:r>
        <w:t xml:space="preserve">federal </w:t>
      </w:r>
      <w:r w:rsidR="00BD635A">
        <w:t>oversight at the time” (pp. 194–</w:t>
      </w:r>
      <w:r>
        <w:t xml:space="preserve">198). In this excerpt, </w:t>
      </w:r>
      <w:r w:rsidR="004D3DE7">
        <w:t xml:space="preserve">Skloot describes </w:t>
      </w:r>
      <w:r w:rsidR="00220123">
        <w:t>how</w:t>
      </w:r>
      <w:r w:rsidR="004D3DE7">
        <w:t xml:space="preserve"> the family struggle</w:t>
      </w:r>
      <w:r w:rsidR="00192D2B">
        <w:t>s</w:t>
      </w:r>
      <w:r w:rsidR="004D3DE7">
        <w:t xml:space="preserve"> to understand</w:t>
      </w:r>
      <w:r w:rsidR="004E27B6">
        <w:t xml:space="preserve"> public information regarding</w:t>
      </w:r>
      <w:r w:rsidR="006F5130">
        <w:t xml:space="preserve"> the HeLa</w:t>
      </w:r>
      <w:r w:rsidR="00C61F9E">
        <w:t xml:space="preserve"> cells</w:t>
      </w:r>
      <w:r w:rsidR="004E27B6">
        <w:t>.</w:t>
      </w:r>
    </w:p>
    <w:p w:rsidR="005C4572" w:rsidRPr="005C4572" w:rsidRDefault="00AB113E" w:rsidP="00A53525">
      <w:r>
        <w:t xml:space="preserve">Students continue to build their understanding </w:t>
      </w:r>
      <w:r w:rsidR="006F7174">
        <w:t xml:space="preserve">of how </w:t>
      </w:r>
      <w:r w:rsidR="00C61F9E">
        <w:t>specific</w:t>
      </w:r>
      <w:r w:rsidR="006F7174">
        <w:t xml:space="preserve"> sections</w:t>
      </w:r>
      <w:r w:rsidR="00C61F9E">
        <w:t xml:space="preserve"> of text</w:t>
      </w:r>
      <w:r w:rsidR="006F7174">
        <w:t xml:space="preserve"> develop and refine specific ideas that have emerged in the larger text</w:t>
      </w:r>
      <w:r>
        <w:t xml:space="preserve">. Students discuss their </w:t>
      </w:r>
      <w:r w:rsidR="00F01D38">
        <w:t xml:space="preserve">analysis </w:t>
      </w:r>
      <w:r>
        <w:t>in pairs and also continue to pre-search topics</w:t>
      </w:r>
      <w:r w:rsidR="002647E0">
        <w:t>/issues</w:t>
      </w:r>
      <w:r>
        <w:t xml:space="preserve"> that interest them and gather potential sources for their research. The assessment is a Quick Write that requires students to</w:t>
      </w:r>
      <w:r w:rsidR="00C61F9E">
        <w:t xml:space="preserve"> </w:t>
      </w:r>
      <w:r w:rsidR="004D3DE7">
        <w:t xml:space="preserve">identify </w:t>
      </w:r>
      <w:r w:rsidR="000B6D42">
        <w:t xml:space="preserve">how </w:t>
      </w:r>
      <w:r w:rsidR="00E26C7A">
        <w:t>a specific</w:t>
      </w:r>
      <w:r w:rsidR="001A461C">
        <w:t xml:space="preserve"> section of text</w:t>
      </w:r>
      <w:r w:rsidR="00E26C7A">
        <w:t xml:space="preserve"> </w:t>
      </w:r>
      <w:r w:rsidR="000B6D42">
        <w:t>develop</w:t>
      </w:r>
      <w:r w:rsidR="00E26C7A">
        <w:t>s</w:t>
      </w:r>
      <w:r w:rsidR="000B6D42">
        <w:t xml:space="preserve"> and refine</w:t>
      </w:r>
      <w:r w:rsidR="00E26C7A">
        <w:t>s</w:t>
      </w:r>
      <w:r w:rsidR="000B6D42">
        <w:t xml:space="preserve"> ideas in the</w:t>
      </w:r>
      <w:r w:rsidR="001A461C">
        <w:t xml:space="preserve"> larger portion of the text</w:t>
      </w:r>
      <w:r>
        <w:t>.</w:t>
      </w:r>
      <w:r w:rsidR="00F01D38">
        <w:t xml:space="preserve"> </w:t>
      </w:r>
      <w:r>
        <w:t xml:space="preserve">For homework, </w:t>
      </w:r>
      <w:r w:rsidR="00F01D38">
        <w:t>s</w:t>
      </w:r>
      <w:r w:rsidR="00B26D77" w:rsidRPr="00B26D77">
        <w:t xml:space="preserve">tudents </w:t>
      </w:r>
      <w:r w:rsidR="00F01D38">
        <w:t>continue to</w:t>
      </w:r>
      <w:r w:rsidR="00B26D77" w:rsidRPr="00B26D77">
        <w:t xml:space="preserve"> use the </w:t>
      </w:r>
      <w:r w:rsidR="00B26D77" w:rsidRPr="00BD635A">
        <w:t>Pre-Search Tool</w:t>
      </w:r>
      <w:r w:rsidR="00B26D77" w:rsidRPr="00B26D77">
        <w:t xml:space="preserve"> to record relevant information about the sources they find</w:t>
      </w:r>
      <w:r w:rsidR="00E26C7A">
        <w:t>,</w:t>
      </w:r>
      <w:r w:rsidR="00B26D77" w:rsidRPr="00B26D77">
        <w:t xml:space="preserve"> </w:t>
      </w:r>
      <w:r w:rsidR="00FE11BF">
        <w:t xml:space="preserve">and </w:t>
      </w:r>
      <w:r>
        <w:t xml:space="preserve">begin </w:t>
      </w:r>
      <w:r w:rsidR="00FE11BF">
        <w:t>adding vocabulary to</w:t>
      </w:r>
      <w:r>
        <w:t xml:space="preserve"> their </w:t>
      </w:r>
      <w:r w:rsidR="00453E59">
        <w:t>v</w:t>
      </w:r>
      <w:r>
        <w:t xml:space="preserve">ocabulary </w:t>
      </w:r>
      <w:r w:rsidR="00453E59">
        <w:t>j</w:t>
      </w:r>
      <w:r>
        <w:t>ournals.</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A26884" w:rsidP="000B2D56">
            <w:pPr>
              <w:pStyle w:val="TableText"/>
            </w:pPr>
            <w:r>
              <w:t>RI.9-10.</w:t>
            </w:r>
            <w:r w:rsidR="005E7753">
              <w:t>5</w:t>
            </w:r>
          </w:p>
        </w:tc>
        <w:tc>
          <w:tcPr>
            <w:tcW w:w="8124" w:type="dxa"/>
          </w:tcPr>
          <w:p w:rsidR="00CF498D" w:rsidRPr="00A16E6F" w:rsidRDefault="005E7753" w:rsidP="00672079">
            <w:pPr>
              <w:pStyle w:val="TableText"/>
            </w:pPr>
            <w:r w:rsidRPr="00672079">
              <w:t xml:space="preserve">Analyze in detail how an author’s ideas or claims are developed and refined by </w:t>
            </w:r>
            <w:r w:rsidRPr="00A72B7B">
              <w:t>particular sentences, paragraphs, or larger portions of a text (e.g., a section or</w:t>
            </w:r>
            <w:r w:rsidRPr="00A16E6F">
              <w:t xml:space="preserve"> chapter).</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AD6A6E" w:rsidRPr="0053542D">
        <w:tc>
          <w:tcPr>
            <w:tcW w:w="1344" w:type="dxa"/>
          </w:tcPr>
          <w:p w:rsidR="00AD6A6E" w:rsidRDefault="00AD6A6E" w:rsidP="00AD6A6E">
            <w:pPr>
              <w:pStyle w:val="TableText"/>
            </w:pPr>
            <w:r>
              <w:rPr>
                <w:rFonts w:asciiTheme="minorHAnsi" w:hAnsiTheme="minorHAnsi"/>
              </w:rPr>
              <w:t>W.9-10.9.b</w:t>
            </w:r>
          </w:p>
        </w:tc>
        <w:tc>
          <w:tcPr>
            <w:tcW w:w="8124" w:type="dxa"/>
          </w:tcPr>
          <w:p w:rsidR="00AD6A6E" w:rsidRDefault="00AD6A6E" w:rsidP="00AD6A6E">
            <w:pPr>
              <w:pStyle w:val="TableText"/>
            </w:pPr>
            <w:r>
              <w:t>Draw evidence from literary or informational texts to support analysis, reflection, and research.</w:t>
            </w:r>
          </w:p>
          <w:p w:rsidR="00AD6A6E" w:rsidRPr="00672079" w:rsidRDefault="00AD6A6E" w:rsidP="009B2160">
            <w:pPr>
              <w:pStyle w:val="SubStandard"/>
            </w:pPr>
            <w:r w:rsidRPr="000F359F">
              <w:t>Apply </w:t>
            </w:r>
            <w:r w:rsidRPr="00B621C1">
              <w:rPr>
                <w:i/>
                <w:iCs/>
              </w:rPr>
              <w:t>grades 9-10 Reading standards</w:t>
            </w:r>
            <w:r w:rsidRPr="000F359F">
              <w:t> to literary nonfiction (e.g., "Delineate and evaluate the argument and specific claims in a text, assessing whether the reasoning is valid and the evidence is relevant and sufficient; identify false statements and fallacious reasoning").</w:t>
            </w:r>
          </w:p>
        </w:tc>
      </w:tr>
      <w:tr w:rsidR="00AD6A6E" w:rsidRPr="0053542D">
        <w:tc>
          <w:tcPr>
            <w:tcW w:w="1344" w:type="dxa"/>
          </w:tcPr>
          <w:p w:rsidR="00AD6A6E" w:rsidRDefault="00AD6A6E" w:rsidP="00AD6A6E">
            <w:pPr>
              <w:pStyle w:val="TableText"/>
            </w:pPr>
            <w:r>
              <w:t>L.9-10.2.a</w:t>
            </w:r>
          </w:p>
        </w:tc>
        <w:tc>
          <w:tcPr>
            <w:tcW w:w="8124" w:type="dxa"/>
          </w:tcPr>
          <w:p w:rsidR="00AD6A6E" w:rsidRPr="00A72B7B" w:rsidRDefault="00AD6A6E" w:rsidP="00AD6A6E">
            <w:pPr>
              <w:pStyle w:val="TableText"/>
            </w:pPr>
            <w:r w:rsidRPr="00672079">
              <w:t xml:space="preserve">Demonstrate command of the conventions of standard English capitalization, punctuation, and spelling when writing. </w:t>
            </w:r>
          </w:p>
          <w:p w:rsidR="00AD6A6E" w:rsidRDefault="00AD6A6E" w:rsidP="009B2160">
            <w:pPr>
              <w:pStyle w:val="SubStandard"/>
              <w:numPr>
                <w:ilvl w:val="0"/>
                <w:numId w:val="45"/>
              </w:numPr>
            </w:pPr>
            <w:r>
              <w:t xml:space="preserve">Use a semicolon (and perhaps a conjunctive adverb) to link two or more closely related independent clauses. </w:t>
            </w:r>
          </w:p>
        </w:tc>
      </w:tr>
      <w:tr w:rsidR="00AD6A6E" w:rsidRPr="0053542D">
        <w:tc>
          <w:tcPr>
            <w:tcW w:w="1344" w:type="dxa"/>
          </w:tcPr>
          <w:p w:rsidR="00AD6A6E" w:rsidRPr="00F820E8" w:rsidRDefault="00AD6A6E" w:rsidP="006E20AC">
            <w:pPr>
              <w:pStyle w:val="TableText"/>
              <w:keepNext/>
              <w:rPr>
                <w:rFonts w:asciiTheme="minorHAnsi" w:hAnsiTheme="minorHAnsi"/>
              </w:rPr>
            </w:pPr>
            <w:r w:rsidRPr="00F820E8">
              <w:rPr>
                <w:rFonts w:asciiTheme="minorHAnsi" w:hAnsiTheme="minorHAnsi"/>
              </w:rPr>
              <w:lastRenderedPageBreak/>
              <w:t>L.9-10.4.a,</w:t>
            </w:r>
            <w:r>
              <w:rPr>
                <w:rFonts w:asciiTheme="minorHAnsi" w:hAnsiTheme="minorHAnsi"/>
              </w:rPr>
              <w:t xml:space="preserve"> </w:t>
            </w:r>
            <w:r w:rsidRPr="00F820E8">
              <w:rPr>
                <w:rFonts w:asciiTheme="minorHAnsi" w:hAnsiTheme="minorHAnsi"/>
              </w:rPr>
              <w:t>c, d</w:t>
            </w:r>
          </w:p>
        </w:tc>
        <w:tc>
          <w:tcPr>
            <w:tcW w:w="8124" w:type="dxa"/>
          </w:tcPr>
          <w:p w:rsidR="00AD6A6E" w:rsidRPr="009B2160" w:rsidRDefault="00AD6A6E" w:rsidP="00AD6A6E">
            <w:pPr>
              <w:pStyle w:val="TableText"/>
            </w:pPr>
            <w:r w:rsidRPr="009B2160">
              <w:t xml:space="preserve">Determine or clarify the meaning of unknown and multiple-meaning words and phrases based on </w:t>
            </w:r>
            <w:r w:rsidRPr="00672079">
              <w:rPr>
                <w:rStyle w:val="Emphasis"/>
                <w:rFonts w:asciiTheme="minorHAnsi" w:hAnsiTheme="minorHAnsi"/>
              </w:rPr>
              <w:t>grades 9–10 reading and content</w:t>
            </w:r>
            <w:r w:rsidRPr="009B2160">
              <w:t>, choosing flexibly from a range of strategies.</w:t>
            </w:r>
          </w:p>
          <w:p w:rsidR="00AD6A6E" w:rsidRPr="00F820E8" w:rsidRDefault="00AD6A6E" w:rsidP="009B2160">
            <w:pPr>
              <w:pStyle w:val="SubStandard"/>
              <w:numPr>
                <w:ilvl w:val="0"/>
                <w:numId w:val="46"/>
              </w:numPr>
            </w:pPr>
            <w:r w:rsidRPr="00F820E8">
              <w:t>Use context (e.g., the overall meaning of a sentence, paragraph, or text; a word’s position or function in a sentence) as a clue to the meaning of a word or phrase.</w:t>
            </w:r>
          </w:p>
          <w:p w:rsidR="00AD6A6E" w:rsidRPr="009B2160" w:rsidRDefault="00AD6A6E" w:rsidP="009B2160">
            <w:pPr>
              <w:pStyle w:val="SubStandard"/>
              <w:numPr>
                <w:ilvl w:val="0"/>
                <w:numId w:val="47"/>
              </w:numPr>
              <w:rPr>
                <w:rFonts w:eastAsia="Times New Roman"/>
              </w:rPr>
            </w:pPr>
            <w:r w:rsidRPr="009B2160">
              <w:rPr>
                <w:rFonts w:eastAsia="Times New Roman"/>
                <w:color w:val="202020"/>
              </w:rPr>
              <w:t xml:space="preserve">Consult general and specialized reference materials (e.g., dictionaries, glossaries, thesauruses), both print and digital, to find the pronunciation of a word or determine or clarify its precise meaning, </w:t>
            </w:r>
            <w:proofErr w:type="spellStart"/>
            <w:r w:rsidRPr="009B2160">
              <w:rPr>
                <w:rFonts w:eastAsia="Times New Roman"/>
                <w:color w:val="202020"/>
              </w:rPr>
              <w:t>its</w:t>
            </w:r>
            <w:proofErr w:type="spellEnd"/>
            <w:r w:rsidRPr="009B2160">
              <w:rPr>
                <w:rFonts w:eastAsia="Times New Roman"/>
                <w:color w:val="202020"/>
              </w:rPr>
              <w:t xml:space="preserve"> part of speech, or its etymology.</w:t>
            </w:r>
          </w:p>
          <w:p w:rsidR="00AD6A6E" w:rsidRPr="00F820E8" w:rsidRDefault="00AD6A6E" w:rsidP="009B2160">
            <w:pPr>
              <w:pStyle w:val="SubStandard"/>
            </w:pPr>
            <w:r w:rsidRPr="00F820E8">
              <w:t>Verify the preliminary determination of the meaning of a word or phrase (e.g., by checking the inferred meaning in context or in a dictionary).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FE11BF" w:rsidP="008151E5">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r w:rsidR="002A47AD">
              <w:t xml:space="preserve"> </w:t>
            </w:r>
          </w:p>
          <w:p w:rsidR="00B26D77" w:rsidRPr="009B2160" w:rsidRDefault="00AD2FFD" w:rsidP="000707F3">
            <w:pPr>
              <w:pStyle w:val="BulletedList"/>
            </w:pPr>
            <w:r w:rsidRPr="009B2160">
              <w:t xml:space="preserve">How does the </w:t>
            </w:r>
            <w:r w:rsidR="008858C2" w:rsidRPr="009B2160">
              <w:t>section</w:t>
            </w:r>
            <w:r w:rsidRPr="009B2160">
              <w:t xml:space="preserve"> on page 197</w:t>
            </w:r>
            <w:r w:rsidR="00E47A93">
              <w:t xml:space="preserve"> </w:t>
            </w:r>
            <w:r w:rsidRPr="009B2160">
              <w:t>from “On March 25, 1976, when Mike Rogers’s Rolling Stone article” to “</w:t>
            </w:r>
            <w:r w:rsidR="00220123" w:rsidRPr="009B2160">
              <w:t>of Henrietta’s DNA that scientists could use to help identify HeLa cells in culture</w:t>
            </w:r>
            <w:r w:rsidRPr="009B2160">
              <w:t>”</w:t>
            </w:r>
            <w:r w:rsidR="00510582" w:rsidRPr="009B2160">
              <w:t xml:space="preserve"> </w:t>
            </w:r>
            <w:r w:rsidRPr="009B2160">
              <w:t>develop and refine Skloot’s ideas in th</w:t>
            </w:r>
            <w:r w:rsidR="00220123" w:rsidRPr="009B2160">
              <w:t xml:space="preserve">is </w:t>
            </w:r>
            <w:r w:rsidRPr="009B2160">
              <w:t>excerpt?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E86FB9" w:rsidP="008151E5">
            <w:pPr>
              <w:pStyle w:val="TableText"/>
            </w:pPr>
            <w:r>
              <w:t>A H</w:t>
            </w:r>
            <w:r w:rsidR="00BE4EBD">
              <w:t xml:space="preserve">igh </w:t>
            </w:r>
            <w:r>
              <w:t>P</w:t>
            </w:r>
            <w:r w:rsidR="00BE4EBD">
              <w:t xml:space="preserve">erformance </w:t>
            </w:r>
            <w:r>
              <w:t>R</w:t>
            </w:r>
            <w:r w:rsidR="00850CE6">
              <w:t>esponse</w:t>
            </w:r>
            <w:r w:rsidR="00E550B8">
              <w:t xml:space="preserve"> should</w:t>
            </w:r>
            <w:r w:rsidR="00BE4EBD">
              <w:t>:</w:t>
            </w:r>
          </w:p>
          <w:p w:rsidR="002D3014" w:rsidRDefault="00AD2FFD" w:rsidP="00064850">
            <w:pPr>
              <w:pStyle w:val="BulletedList"/>
            </w:pPr>
            <w:r>
              <w:t xml:space="preserve">Identify several ideas in the excerpt that are </w:t>
            </w:r>
            <w:r w:rsidR="00C6227F">
              <w:t>developed</w:t>
            </w:r>
            <w:r>
              <w:t xml:space="preserve"> or refined by </w:t>
            </w:r>
            <w:r w:rsidR="00572A92">
              <w:t>the identified section of text</w:t>
            </w:r>
            <w:r w:rsidR="008D0553">
              <w:t xml:space="preserve"> (e.g.</w:t>
            </w:r>
            <w:r w:rsidR="00201FAD">
              <w:t>,</w:t>
            </w:r>
            <w:r w:rsidR="008D0553">
              <w:t xml:space="preserve"> racial injustice, privacy violations, continued disconnect between the medical community and the Lacks family).</w:t>
            </w:r>
            <w:r w:rsidR="002D3014">
              <w:t xml:space="preserve"> </w:t>
            </w:r>
          </w:p>
          <w:p w:rsidR="00AD2FFD" w:rsidRPr="003908D2" w:rsidRDefault="009144DD" w:rsidP="003C55E6">
            <w:pPr>
              <w:pStyle w:val="BulletedList"/>
            </w:pPr>
            <w:r>
              <w:t>Analyze</w:t>
            </w:r>
            <w:r w:rsidR="00AD2FFD">
              <w:t xml:space="preserve"> how the</w:t>
            </w:r>
            <w:r>
              <w:t xml:space="preserve"> author’s</w:t>
            </w:r>
            <w:r w:rsidR="00AD2FFD">
              <w:t xml:space="preserve"> ideas are </w:t>
            </w:r>
            <w:r w:rsidR="00C6227F">
              <w:t>developed</w:t>
            </w:r>
            <w:r w:rsidR="00AD2FFD">
              <w:t xml:space="preserve"> or refined</w:t>
            </w:r>
            <w:r>
              <w:t xml:space="preserve"> in the excerpt</w:t>
            </w:r>
            <w:r w:rsidR="002D3014">
              <w:t xml:space="preserve"> </w:t>
            </w:r>
            <w:r>
              <w:t>(e.g.</w:t>
            </w:r>
            <w:r w:rsidR="00201FAD">
              <w:t>,</w:t>
            </w:r>
            <w:r w:rsidR="002D3014">
              <w:t xml:space="preserve"> the</w:t>
            </w:r>
            <w:r>
              <w:t xml:space="preserve"> increase in</w:t>
            </w:r>
            <w:r w:rsidR="002D3014">
              <w:t xml:space="preserve"> racial tensions </w:t>
            </w:r>
            <w:r>
              <w:t>during this time period</w:t>
            </w:r>
            <w:r w:rsidR="00572A92">
              <w:t>, such as “the Black Panthers</w:t>
            </w:r>
            <w:r w:rsidR="00E86FB9">
              <w:t xml:space="preserve"> </w:t>
            </w:r>
            <w:r w:rsidR="006E20AC">
              <w:t>. . .</w:t>
            </w:r>
            <w:r w:rsidR="00E86FB9">
              <w:t xml:space="preserve"> </w:t>
            </w:r>
            <w:r w:rsidR="00572A92">
              <w:t>protesting what they saw as a racist health system” and the Tuskegee study, and</w:t>
            </w:r>
            <w:r w:rsidR="000825EE">
              <w:t xml:space="preserve"> how this historical background further develops the racial injustices previously explored in the text</w:t>
            </w:r>
            <w:r w:rsidR="003C55E6">
              <w:t>; t</w:t>
            </w:r>
            <w:r w:rsidR="002D3014">
              <w:t xml:space="preserve">he </w:t>
            </w:r>
            <w:r>
              <w:t>family’s lack of knowledg</w:t>
            </w:r>
            <w:r w:rsidR="00572A92">
              <w:t xml:space="preserve">e concerning the use of their blood drawn by </w:t>
            </w:r>
            <w:proofErr w:type="spellStart"/>
            <w:r w:rsidR="00572A92">
              <w:t>McKusick</w:t>
            </w:r>
            <w:proofErr w:type="spellEnd"/>
            <w:r w:rsidR="00572A92">
              <w:t xml:space="preserve"> and Hsu to “create a map of Henrietta’s DNA” in a study that included the family’s genetic markers published without consent</w:t>
            </w:r>
            <w:r w:rsidR="000825EE">
              <w:t>, again furthering ideas of privacy violations</w:t>
            </w:r>
            <w:r w:rsidR="003C55E6">
              <w:t>;</w:t>
            </w:r>
            <w:r w:rsidR="000825EE">
              <w:t xml:space="preserve"> continued disconnect between the medical community and the Lacks family</w:t>
            </w:r>
            <w:r w:rsidR="003C55E6">
              <w:t>;</w:t>
            </w:r>
            <w:r w:rsidR="000825EE">
              <w:t xml:space="preserve"> and lack of informed consent</w:t>
            </w:r>
            <w:r>
              <w:t>)</w:t>
            </w:r>
            <w:r w:rsidR="001D703D">
              <w:t>.</w:t>
            </w:r>
          </w:p>
        </w:tc>
      </w:tr>
    </w:tbl>
    <w:p w:rsidR="00C4787C" w:rsidRDefault="00E86FB9" w:rsidP="00AD71AA">
      <w:pPr>
        <w:pStyle w:val="Heading1"/>
        <w:spacing w:before="240"/>
      </w:pPr>
      <w:r>
        <w:br w:type="page"/>
      </w:r>
      <w:r w:rsidR="00C4787C">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B26D77" w:rsidRDefault="00FD4A98" w:rsidP="00515A74">
            <w:pPr>
              <w:pStyle w:val="BulletedList"/>
            </w:pPr>
            <w:r>
              <w:t>b</w:t>
            </w:r>
            <w:r w:rsidR="00AF077C">
              <w:t>iotech</w:t>
            </w:r>
            <w:r w:rsidR="008369FF">
              <w:t xml:space="preserve"> [biotechnolog</w:t>
            </w:r>
            <w:r w:rsidR="008369FF" w:rsidRPr="00BA36E9">
              <w:t>y]</w:t>
            </w:r>
            <w:r w:rsidR="00AF077C">
              <w:t xml:space="preserve"> (n</w:t>
            </w:r>
            <w:r w:rsidR="00E86FB9">
              <w:t>.</w:t>
            </w:r>
            <w:r w:rsidR="00B26D77">
              <w:t>)</w:t>
            </w:r>
            <w:r w:rsidR="008369FF">
              <w:t xml:space="preserve"> </w:t>
            </w:r>
            <w:r w:rsidR="00E86FB9">
              <w:t>–</w:t>
            </w:r>
            <w:r w:rsidR="00AF077C">
              <w:t xml:space="preserve"> </w:t>
            </w:r>
            <w:r w:rsidR="000B6D42" w:rsidRPr="000B6D42">
              <w:t>the use of living organisms or other biological systems in the manufacture of drugs or other products or for environmental management, as in waste recycling</w:t>
            </w:r>
            <w:r>
              <w:t>;</w:t>
            </w:r>
            <w:r w:rsidR="000B6D42" w:rsidRPr="000B6D42">
              <w:t xml:space="preserve"> includes the use of bioreactors in manufacturing, microorganisms to degrade oil slicks or organic waste,</w:t>
            </w:r>
            <w:r w:rsidR="001D703D">
              <w:t xml:space="preserve"> and</w:t>
            </w:r>
            <w:r w:rsidR="000B6D42" w:rsidRPr="000B6D42">
              <w:t xml:space="preserve"> genetically engineered bacteria to produce human hormones </w:t>
            </w:r>
          </w:p>
          <w:p w:rsidR="00B26D77" w:rsidRPr="00B231AA" w:rsidRDefault="00B5383C" w:rsidP="00181CB5">
            <w:pPr>
              <w:pStyle w:val="BulletedList"/>
            </w:pPr>
            <w:r>
              <w:t>crossed (v</w:t>
            </w:r>
            <w:r w:rsidR="00E86FB9">
              <w:t>.</w:t>
            </w:r>
            <w:r>
              <w:t>)</w:t>
            </w:r>
            <w:r w:rsidR="00E86FB9">
              <w:t xml:space="preserve"> –</w:t>
            </w:r>
            <w:r w:rsidR="00AF077C">
              <w:t xml:space="preserve"> </w:t>
            </w:r>
            <w:r w:rsidR="00FD4A98">
              <w:rPr>
                <w:rStyle w:val="ssens"/>
              </w:rPr>
              <w:t>combined</w:t>
            </w:r>
            <w:r w:rsidR="00181CB5">
              <w:rPr>
                <w:rStyle w:val="ssens"/>
              </w:rPr>
              <w:t xml:space="preserve"> characteristics of two different types of individuals</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6D77" w:rsidRPr="00C24E4D" w:rsidRDefault="00B26D77" w:rsidP="00B5383C">
            <w:pPr>
              <w:pStyle w:val="BulletedList"/>
              <w:rPr>
                <w:b/>
              </w:rPr>
            </w:pPr>
            <w:r w:rsidRPr="00B5383C">
              <w:t>quantify (v</w:t>
            </w:r>
            <w:r w:rsidR="00E86FB9">
              <w:t>.</w:t>
            </w:r>
            <w:r w:rsidRPr="00B5383C">
              <w:t>)</w:t>
            </w:r>
            <w:r w:rsidR="00E86FB9">
              <w:t xml:space="preserve"> –</w:t>
            </w:r>
            <w:r w:rsidR="006F5856">
              <w:t xml:space="preserve"> to find or calculate the quantity or amount of something</w:t>
            </w:r>
          </w:p>
          <w:p w:rsidR="00C24E4D" w:rsidRPr="00B5383C" w:rsidRDefault="00C24E4D" w:rsidP="00E86FB9">
            <w:pPr>
              <w:pStyle w:val="BulletedList"/>
              <w:rPr>
                <w:b/>
              </w:rPr>
            </w:pPr>
            <w:r>
              <w:t>prosperity (n</w:t>
            </w:r>
            <w:r w:rsidR="00E86FB9">
              <w:t>.</w:t>
            </w:r>
            <w:r>
              <w:t>)</w:t>
            </w:r>
            <w:r w:rsidR="00E86FB9">
              <w:t xml:space="preserve"> –</w:t>
            </w:r>
            <w:r>
              <w:t xml:space="preserve"> the state of being successful</w:t>
            </w:r>
            <w:r w:rsidR="00E550B8">
              <w:t>,</w:t>
            </w:r>
            <w:r>
              <w:t xml:space="preserve"> usually by making a lot of money</w:t>
            </w:r>
          </w:p>
        </w:tc>
      </w:tr>
    </w:tbl>
    <w:p w:rsidR="00C4787C" w:rsidRDefault="00C4787C" w:rsidP="00AD71AA">
      <w:pPr>
        <w:pStyle w:val="Heading1"/>
        <w:spacing w:before="24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0825EE">
              <w:t>RI.9-10.5,</w:t>
            </w:r>
            <w:r w:rsidR="00906BDD">
              <w:t xml:space="preserve"> </w:t>
            </w:r>
            <w:r w:rsidR="00201FAD">
              <w:t xml:space="preserve">W.9-10.9.b, </w:t>
            </w:r>
            <w:r w:rsidR="00906BDD">
              <w:t>L.</w:t>
            </w:r>
            <w:r w:rsidR="003D77CB">
              <w:t>9-10.2.a</w:t>
            </w:r>
            <w:r w:rsidR="00906BDD">
              <w:t>, L.9-10.4</w:t>
            </w:r>
            <w:r w:rsidR="008D0553">
              <w:t xml:space="preserve">a, </w:t>
            </w:r>
            <w:r w:rsidR="000707F3">
              <w:t>c</w:t>
            </w:r>
            <w:r w:rsidR="008D0553">
              <w:t>, d</w:t>
            </w:r>
          </w:p>
          <w:p w:rsidR="00730123" w:rsidRDefault="004B7C07" w:rsidP="00E86FB9">
            <w:pPr>
              <w:pStyle w:val="BulletedList"/>
            </w:pPr>
            <w:r>
              <w:t xml:space="preserve">Text: </w:t>
            </w:r>
            <w:r w:rsidR="00B426E0">
              <w:rPr>
                <w:i/>
              </w:rPr>
              <w:t>The Immortal Life of Henrietta Lacks</w:t>
            </w:r>
            <w:r w:rsidR="00B426E0">
              <w:t>, pp. 194</w:t>
            </w:r>
            <w:r w:rsidR="00E86FB9">
              <w:t>–</w:t>
            </w:r>
            <w:r w:rsidR="00B426E0">
              <w:t>198</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1F1DFA" w:rsidP="00546D71">
            <w:pPr>
              <w:pStyle w:val="NumberedList"/>
            </w:pPr>
            <w:r>
              <w:t>Reading and Discussion</w:t>
            </w:r>
          </w:p>
          <w:p w:rsidR="00546D71" w:rsidRDefault="001F1DFA" w:rsidP="00546D71">
            <w:pPr>
              <w:pStyle w:val="NumberedList"/>
            </w:pPr>
            <w:r>
              <w:t>Quick Write</w:t>
            </w:r>
          </w:p>
          <w:p w:rsidR="00546D71" w:rsidRDefault="009F708A" w:rsidP="00546D71">
            <w:pPr>
              <w:pStyle w:val="NumberedList"/>
            </w:pPr>
            <w:r>
              <w:t xml:space="preserve">Vocabulary Journal </w:t>
            </w:r>
            <w:r w:rsidR="00BE60A7">
              <w:t>Introduction</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w:t>
            </w:r>
            <w:r w:rsidR="00906BDD">
              <w:t>0</w:t>
            </w:r>
            <w:r w:rsidR="00546D71">
              <w:t>%</w:t>
            </w:r>
          </w:p>
          <w:p w:rsidR="00546D71" w:rsidRDefault="00D93CFD" w:rsidP="00546D71">
            <w:pPr>
              <w:pStyle w:val="NumberedList"/>
            </w:pPr>
            <w:r>
              <w:t>40</w:t>
            </w:r>
            <w:r w:rsidR="00546D71">
              <w:t>%</w:t>
            </w:r>
          </w:p>
          <w:p w:rsidR="00546D71" w:rsidRDefault="001F1DFA" w:rsidP="00546D71">
            <w:pPr>
              <w:pStyle w:val="NumberedList"/>
            </w:pPr>
            <w:r>
              <w:t>15</w:t>
            </w:r>
            <w:r w:rsidR="00546D71">
              <w:t>%</w:t>
            </w:r>
          </w:p>
          <w:p w:rsidR="00546D71" w:rsidRDefault="00906BDD" w:rsidP="00546D71">
            <w:pPr>
              <w:pStyle w:val="NumberedList"/>
            </w:pPr>
            <w:r>
              <w:t>25</w:t>
            </w:r>
            <w:r w:rsidR="00546D71">
              <w:t>%</w:t>
            </w:r>
          </w:p>
          <w:p w:rsidR="00546D71" w:rsidRPr="00C02EC2" w:rsidRDefault="00546D71" w:rsidP="00546D71">
            <w:pPr>
              <w:pStyle w:val="NumberedList"/>
            </w:pPr>
            <w:r>
              <w:t>5%</w:t>
            </w:r>
          </w:p>
        </w:tc>
      </w:tr>
    </w:tbl>
    <w:p w:rsidR="003368BF" w:rsidRDefault="00F308FF" w:rsidP="00AD71AA">
      <w:pPr>
        <w:pStyle w:val="Heading1"/>
        <w:spacing w:before="240"/>
      </w:pPr>
      <w:r>
        <w:t>Materials</w:t>
      </w:r>
    </w:p>
    <w:p w:rsidR="00BD3233" w:rsidRPr="00FE11BF" w:rsidRDefault="00BD3233" w:rsidP="00BD3233">
      <w:pPr>
        <w:pStyle w:val="BulletedList"/>
      </w:pPr>
      <w:r w:rsidRPr="00FE11BF">
        <w:t xml:space="preserve">Student copies of the </w:t>
      </w:r>
      <w:r>
        <w:t>10.3.1 Unit Glossary (refer to 10.3.1 Lesson 1)</w:t>
      </w:r>
    </w:p>
    <w:p w:rsidR="00E86FB9" w:rsidRDefault="00E86FB9" w:rsidP="00064850">
      <w:pPr>
        <w:pStyle w:val="BulletedList"/>
      </w:pPr>
      <w:r w:rsidRPr="00FE11BF">
        <w:t xml:space="preserve">Student copies of the Short Response Rubric </w:t>
      </w:r>
      <w:r>
        <w:t>and</w:t>
      </w:r>
      <w:r w:rsidRPr="00FE11BF">
        <w:t xml:space="preserve"> Checklist (refer to 10.3.1 Lesson 1)</w:t>
      </w:r>
    </w:p>
    <w:p w:rsidR="00BD3233" w:rsidRDefault="00BD3233" w:rsidP="00BD3233">
      <w:pPr>
        <w:pStyle w:val="BulletedList"/>
      </w:pPr>
      <w:r w:rsidRPr="00FE11BF">
        <w:t xml:space="preserve">Copies of </w:t>
      </w:r>
      <w:r w:rsidR="00066B17">
        <w:t xml:space="preserve">the </w:t>
      </w:r>
      <w:r w:rsidR="00FF456A">
        <w:t>vocabulary j</w:t>
      </w:r>
      <w:r w:rsidRPr="00FE11BF">
        <w:t>ournal</w:t>
      </w:r>
      <w:r>
        <w:t xml:space="preserve"> for each student</w:t>
      </w:r>
      <w:r w:rsidR="00C605EE">
        <w:t xml:space="preserve"> (Optional)</w:t>
      </w:r>
    </w:p>
    <w:p w:rsidR="000825EE" w:rsidRDefault="001F1DFA" w:rsidP="0055173D">
      <w:pPr>
        <w:pStyle w:val="BulletedList"/>
      </w:pPr>
      <w:r w:rsidRPr="00FE11BF">
        <w:t xml:space="preserve">Student </w:t>
      </w:r>
      <w:r w:rsidR="000707F3">
        <w:t>c</w:t>
      </w:r>
      <w:r w:rsidR="000707F3" w:rsidRPr="00FE11BF">
        <w:t xml:space="preserve">opies </w:t>
      </w:r>
      <w:r w:rsidRPr="00FE11BF">
        <w:t xml:space="preserve">of </w:t>
      </w:r>
      <w:r w:rsidR="00E86FB9">
        <w:t xml:space="preserve">the </w:t>
      </w:r>
      <w:r w:rsidRPr="00FE11BF">
        <w:t>Pre-Search Tool</w:t>
      </w:r>
      <w:r w:rsidR="00FE11BF" w:rsidRPr="00FE11BF">
        <w:t xml:space="preserve"> (refer to 10.3.1 Lesson 8)</w:t>
      </w:r>
    </w:p>
    <w:p w:rsidR="009B2160" w:rsidRDefault="00FF456A" w:rsidP="00AD71AA">
      <w:pPr>
        <w:pStyle w:val="IN"/>
      </w:pPr>
      <w:r>
        <w:t>The vocabulary j</w:t>
      </w:r>
      <w:r w:rsidR="00AF7D5C">
        <w:t xml:space="preserve">ournal is optional. Students may </w:t>
      </w:r>
      <w:r w:rsidR="009B2160">
        <w:t>write their vocabulary in</w:t>
      </w:r>
      <w:r>
        <w:t xml:space="preserve"> a notebook rather than on the v</w:t>
      </w:r>
      <w:r w:rsidR="009B2160">
        <w:t xml:space="preserve">ocabulary </w:t>
      </w:r>
      <w:r>
        <w:t>j</w:t>
      </w:r>
      <w:r w:rsidR="009B2160">
        <w:t>ournal</w:t>
      </w:r>
      <w:r w:rsidR="00AF7D5C">
        <w:t>.</w:t>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DC22A3">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DC22A3">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DC22A3">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DC22A3">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DC22A3">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DC22A3">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DC22A3">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DC22A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1F1DFA" w:rsidRDefault="001F1DFA" w:rsidP="00E946A0">
      <w:pPr>
        <w:pStyle w:val="TA"/>
      </w:pPr>
      <w:r>
        <w:t>Begin by reviewing the agenda</w:t>
      </w:r>
      <w:r w:rsidR="00B426E0">
        <w:t xml:space="preserve"> and the assessed standard for this lesson: RI.9-10.</w:t>
      </w:r>
      <w:r w:rsidR="000B6D42">
        <w:t>5</w:t>
      </w:r>
      <w:r>
        <w:t xml:space="preserve">. </w:t>
      </w:r>
      <w:r w:rsidR="00527F3B">
        <w:t>In</w:t>
      </w:r>
      <w:r>
        <w:t xml:space="preserve"> this lesson</w:t>
      </w:r>
      <w:r w:rsidR="00B426E0">
        <w:t>,</w:t>
      </w:r>
      <w:r>
        <w:t xml:space="preserve"> </w:t>
      </w:r>
      <w:r w:rsidR="00527F3B">
        <w:t xml:space="preserve">students </w:t>
      </w:r>
      <w:r>
        <w:t xml:space="preserve">consider </w:t>
      </w:r>
      <w:r w:rsidR="000B6D42">
        <w:t>how specific sections of text develop and refine specific ideas that have emerged in the larger text</w:t>
      </w:r>
      <w:r w:rsidR="00AF077C">
        <w:t xml:space="preserve"> by reading and answering questions and annotating the text</w:t>
      </w:r>
      <w:r>
        <w:t>.</w:t>
      </w:r>
      <w:r w:rsidR="00AF077C">
        <w:t xml:space="preserve"> Finally, </w:t>
      </w:r>
      <w:r w:rsidR="00FF0CF1">
        <w:t>students</w:t>
      </w:r>
      <w:r w:rsidR="00AF077C">
        <w:t xml:space="preserve"> </w:t>
      </w:r>
      <w:r w:rsidR="00FF456A">
        <w:t>are introduced to the v</w:t>
      </w:r>
      <w:r w:rsidR="003E4EB9">
        <w:t xml:space="preserve">ocabulary </w:t>
      </w:r>
      <w:r w:rsidR="00FF456A">
        <w:t>j</w:t>
      </w:r>
      <w:r w:rsidR="003E4EB9">
        <w:t xml:space="preserve">ournal </w:t>
      </w:r>
      <w:r w:rsidR="00B426E0">
        <w:t>to capture new and unfamiliar words in their potential sources</w:t>
      </w:r>
      <w:r w:rsidR="003E4EB9">
        <w:t xml:space="preserve"> as they complete pre-searches for homework.</w:t>
      </w:r>
    </w:p>
    <w:p w:rsidR="0096491B" w:rsidRDefault="0096491B" w:rsidP="00846065">
      <w:pPr>
        <w:pStyle w:val="SA"/>
      </w:pPr>
      <w:r>
        <w:t xml:space="preserve">Students </w:t>
      </w:r>
      <w:r w:rsidR="00A53525">
        <w:t>look at the agenda</w:t>
      </w:r>
      <w:r>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4D3DE7" w:rsidRDefault="004D3DE7" w:rsidP="00D948C3">
      <w:pPr>
        <w:pStyle w:val="TA"/>
      </w:pPr>
      <w:r>
        <w:t>Ask students to work in pairs and share the potential sources they found for homework. Instruct students to first articulate their</w:t>
      </w:r>
      <w:r w:rsidR="007C5EDC">
        <w:t xml:space="preserve"> inquiry</w:t>
      </w:r>
      <w:r>
        <w:t xml:space="preserve"> question and then briefly explain how each source relates to that question.</w:t>
      </w:r>
    </w:p>
    <w:p w:rsidR="004D3DE7" w:rsidRDefault="004D3DE7" w:rsidP="004D3DE7">
      <w:pPr>
        <w:pStyle w:val="SA"/>
      </w:pPr>
      <w:r>
        <w:t>Student pairs share the potential sources they found for homework. The students’ responses vary based on the individual research they conducted.</w:t>
      </w:r>
    </w:p>
    <w:p w:rsidR="004D3DE7" w:rsidRDefault="004D3DE7" w:rsidP="00D948C3">
      <w:pPr>
        <w:pStyle w:val="TA"/>
      </w:pPr>
      <w:r>
        <w:t xml:space="preserve">Now ask students to discuss in pairs how </w:t>
      </w:r>
      <w:r w:rsidR="006251E6">
        <w:t xml:space="preserve">the </w:t>
      </w:r>
      <w:r>
        <w:t xml:space="preserve">source is relevant to </w:t>
      </w:r>
      <w:r w:rsidR="006251E6">
        <w:t xml:space="preserve">the inquiry </w:t>
      </w:r>
      <w:r>
        <w:t xml:space="preserve">question. </w:t>
      </w:r>
      <w:r w:rsidR="007C5EDC">
        <w:t xml:space="preserve">Remind </w:t>
      </w:r>
      <w:r>
        <w:t xml:space="preserve">students that </w:t>
      </w:r>
      <w:r w:rsidRPr="004D3DE7">
        <w:rPr>
          <w:i/>
        </w:rPr>
        <w:t>relevant</w:t>
      </w:r>
      <w:r>
        <w:t xml:space="preserve"> means </w:t>
      </w:r>
      <w:r w:rsidR="00A53525">
        <w:t>“</w:t>
      </w:r>
      <w:r>
        <w:t>closely connected to their question.</w:t>
      </w:r>
      <w:r w:rsidR="00A53525">
        <w:t>”</w:t>
      </w:r>
    </w:p>
    <w:p w:rsidR="00B80819" w:rsidRDefault="0096491B" w:rsidP="00846065">
      <w:pPr>
        <w:pStyle w:val="IN"/>
      </w:pPr>
      <w:r>
        <w:t xml:space="preserve">To review the definition and explanation of </w:t>
      </w:r>
      <w:r w:rsidRPr="00846065">
        <w:rPr>
          <w:i/>
        </w:rPr>
        <w:t>relevant</w:t>
      </w:r>
      <w:r>
        <w:t xml:space="preserve">, </w:t>
      </w:r>
      <w:r w:rsidR="003E4EB9">
        <w:t>refer to 10.3.1</w:t>
      </w:r>
      <w:r>
        <w:t xml:space="preserve"> Lesson 6</w:t>
      </w:r>
      <w:r w:rsidR="003E4EB9">
        <w:t>.</w:t>
      </w:r>
    </w:p>
    <w:p w:rsidR="00C6227F" w:rsidRDefault="00C6227F" w:rsidP="00846065">
      <w:pPr>
        <w:pStyle w:val="IN"/>
      </w:pPr>
      <w:r>
        <w:t>Consider collecting th</w:t>
      </w:r>
      <w:r w:rsidR="00970230">
        <w:t>e</w:t>
      </w:r>
      <w:r>
        <w:t xml:space="preserve"> homework to assess students’ research progress.</w:t>
      </w:r>
    </w:p>
    <w:p w:rsidR="004D3DE7" w:rsidRDefault="004D3DE7" w:rsidP="004D3DE7">
      <w:pPr>
        <w:pStyle w:val="SR"/>
      </w:pPr>
      <w:r>
        <w:t>Student responses</w:t>
      </w:r>
      <w:r w:rsidR="006D1A22">
        <w:t xml:space="preserve"> vary based</w:t>
      </w:r>
      <w:r>
        <w:t xml:space="preserve"> </w:t>
      </w:r>
      <w:r w:rsidR="00A53525">
        <w:t xml:space="preserve">on </w:t>
      </w:r>
      <w:r w:rsidR="00D13EA4" w:rsidRPr="00FE5D0C">
        <w:rPr>
          <w:szCs w:val="20"/>
        </w:rPr>
        <w:t xml:space="preserve">their individual research </w:t>
      </w:r>
      <w:r w:rsidR="006D1A22">
        <w:rPr>
          <w:szCs w:val="20"/>
        </w:rPr>
        <w:t>topics/questions</w:t>
      </w:r>
      <w:r w:rsidR="00D13EA4" w:rsidRPr="00FE5D0C">
        <w:rPr>
          <w:szCs w:val="20"/>
        </w:rPr>
        <w:t xml:space="preserve"> and research conducted</w:t>
      </w:r>
      <w:r>
        <w:t xml:space="preserve">. </w:t>
      </w:r>
      <w:r w:rsidR="00A53525">
        <w:t>S</w:t>
      </w:r>
      <w:r>
        <w:t>tudent responses may include:</w:t>
      </w:r>
    </w:p>
    <w:p w:rsidR="00B80819" w:rsidRDefault="009F708A" w:rsidP="001D703D">
      <w:pPr>
        <w:pStyle w:val="SASRBullet"/>
      </w:pPr>
      <w:r>
        <w:t>My question wa</w:t>
      </w:r>
      <w:r w:rsidRPr="009F708A">
        <w:t>s, “</w:t>
      </w:r>
      <w:r w:rsidR="005E1E5E">
        <w:t>What</w:t>
      </w:r>
      <w:r w:rsidR="00F915CA">
        <w:t xml:space="preserve"> privacy rights should patients expect</w:t>
      </w:r>
      <w:r w:rsidR="004D3DE7" w:rsidRPr="009F708A">
        <w:t xml:space="preserve">?” The source I found is related to this question because it </w:t>
      </w:r>
      <w:r w:rsidR="005E1E5E">
        <w:t xml:space="preserve">discusses the HIPAA Privacy Rule that gives doctors who </w:t>
      </w:r>
      <w:r w:rsidR="005E1E5E">
        <w:lastRenderedPageBreak/>
        <w:t>are both medical researchers and private physicians some guidelines about what they can keep private and what they can share</w:t>
      </w:r>
      <w:r w:rsidR="004D3DE7">
        <w:t>.</w:t>
      </w:r>
    </w:p>
    <w:p w:rsidR="00B80819" w:rsidRPr="000B2D56" w:rsidRDefault="00B80819" w:rsidP="00846065">
      <w:pPr>
        <w:pStyle w:val="IN"/>
      </w:pPr>
      <w:r>
        <w:t>A Model Pre-Search Tool is included at the end of this lesson.</w:t>
      </w:r>
    </w:p>
    <w:p w:rsidR="000B2D56" w:rsidRDefault="000B2D56" w:rsidP="00CE2836">
      <w:pPr>
        <w:pStyle w:val="LearningSequenceHeader"/>
      </w:pPr>
      <w:r w:rsidRPr="000B2D56">
        <w:t xml:space="preserve">Activity </w:t>
      </w:r>
      <w:r>
        <w:t>3</w:t>
      </w:r>
      <w:r w:rsidRPr="000B2D56">
        <w:t xml:space="preserve">: </w:t>
      </w:r>
      <w:r w:rsidR="001F1DFA">
        <w:t>Reading and Discussion</w:t>
      </w:r>
      <w:r w:rsidR="006F5856">
        <w:tab/>
      </w:r>
      <w:r w:rsidR="00D93CFD">
        <w:t>4</w:t>
      </w:r>
      <w:r w:rsidR="006F5856">
        <w:t>0</w:t>
      </w:r>
      <w:r w:rsidRPr="000B2D56">
        <w:t>%</w:t>
      </w:r>
    </w:p>
    <w:p w:rsidR="0098735C" w:rsidRDefault="004F0E6B" w:rsidP="00904CD2">
      <w:pPr>
        <w:pStyle w:val="TA"/>
      </w:pPr>
      <w:r>
        <w:t>Instruct</w:t>
      </w:r>
      <w:r w:rsidR="0098735C">
        <w:t xml:space="preserve"> students </w:t>
      </w:r>
      <w:r>
        <w:t>to</w:t>
      </w:r>
      <w:r w:rsidR="006D1A22">
        <w:t xml:space="preserve"> </w:t>
      </w:r>
      <w:r>
        <w:t>form</w:t>
      </w:r>
      <w:r w:rsidR="0098735C">
        <w:t xml:space="preserve"> pairs. </w:t>
      </w:r>
      <w:r w:rsidR="00BD3233" w:rsidRPr="009C35E7">
        <w:rPr>
          <w:rFonts w:asciiTheme="minorHAnsi" w:hAnsiTheme="minorHAnsi"/>
        </w:rPr>
        <w:t xml:space="preserve">Post or project </w:t>
      </w:r>
      <w:r w:rsidR="00BD3233">
        <w:rPr>
          <w:rFonts w:asciiTheme="minorHAnsi" w:hAnsiTheme="minorHAnsi"/>
        </w:rPr>
        <w:t xml:space="preserve">each set of questions below for </w:t>
      </w:r>
      <w:r w:rsidR="00BD3233" w:rsidRPr="009C35E7">
        <w:rPr>
          <w:rFonts w:asciiTheme="minorHAnsi" w:hAnsiTheme="minorHAnsi"/>
        </w:rPr>
        <w:t xml:space="preserve">students to </w:t>
      </w:r>
      <w:r w:rsidR="00BD3233">
        <w:rPr>
          <w:rFonts w:asciiTheme="minorHAnsi" w:hAnsiTheme="minorHAnsi"/>
        </w:rPr>
        <w:t>discuss</w:t>
      </w:r>
      <w:r w:rsidR="00BD3233" w:rsidRPr="009E6B5C">
        <w:rPr>
          <w:rFonts w:asciiTheme="minorHAnsi" w:hAnsiTheme="minorHAnsi"/>
        </w:rPr>
        <w:t>.</w:t>
      </w:r>
    </w:p>
    <w:p w:rsidR="00D17691" w:rsidRDefault="00D17691" w:rsidP="00904CD2">
      <w:pPr>
        <w:pStyle w:val="TA"/>
      </w:pPr>
      <w:r>
        <w:t>Instruct student pairs to read from “Various spokespeople for Johns Hopkins, including at least one past university president” to “popular cell lines in the world, that number is surely significant” (p. 194) and</w:t>
      </w:r>
      <w:r w:rsidR="00A53525" w:rsidRPr="00A53525">
        <w:t xml:space="preserve"> </w:t>
      </w:r>
      <w:r w:rsidR="00A53525">
        <w:t>answer the following questions before sharing out with the class.</w:t>
      </w:r>
      <w:r>
        <w:t xml:space="preserve"> </w:t>
      </w:r>
      <w:r w:rsidR="00E21A79">
        <w:t>Remind student pairs to annotate the text as they engage in the following evidence-based discussion.</w:t>
      </w:r>
    </w:p>
    <w:p w:rsidR="00AD75BA" w:rsidRDefault="00AD75BA" w:rsidP="00AD75BA">
      <w:pPr>
        <w:pStyle w:val="IN"/>
      </w:pPr>
      <w:r>
        <w:t>If necessary to support comprehension and fluency, consider using a Masterful Reading of the focus excerpt for the lesson.</w:t>
      </w:r>
    </w:p>
    <w:p w:rsidR="0096151E" w:rsidRDefault="0096151E" w:rsidP="00904CD2">
      <w:pPr>
        <w:pStyle w:val="IN"/>
        <w:numPr>
          <w:ilvl w:val="0"/>
          <w:numId w:val="39"/>
        </w:numPr>
        <w:ind w:left="360"/>
      </w:pPr>
      <w:r w:rsidRPr="008858C2">
        <w:t xml:space="preserve">Instruct students to consult the 10.3.1 Unit Glossary for the terms found in today’s reading including: </w:t>
      </w:r>
      <w:r w:rsidRPr="008858C2">
        <w:rPr>
          <w:i/>
        </w:rPr>
        <w:t>biotech</w:t>
      </w:r>
      <w:r w:rsidRPr="009B2160">
        <w:t xml:space="preserve"> </w:t>
      </w:r>
      <w:r w:rsidR="00E33C02" w:rsidRPr="009B2160">
        <w:t xml:space="preserve">and </w:t>
      </w:r>
      <w:r w:rsidRPr="008858C2">
        <w:rPr>
          <w:i/>
        </w:rPr>
        <w:t>crossed</w:t>
      </w:r>
      <w:r w:rsidR="00E33C02">
        <w:rPr>
          <w:i/>
        </w:rPr>
        <w:t>.</w:t>
      </w:r>
    </w:p>
    <w:p w:rsidR="004C3C91" w:rsidRDefault="004C3C91" w:rsidP="005E1E5E">
      <w:pPr>
        <w:pStyle w:val="Q"/>
      </w:pPr>
      <w:r>
        <w:t xml:space="preserve">Why does Skloot quote prices per vial of HeLa products and the number of patents made with HeLa? </w:t>
      </w:r>
    </w:p>
    <w:p w:rsidR="004C3C91" w:rsidRDefault="004C3C91" w:rsidP="003D77CB">
      <w:pPr>
        <w:pStyle w:val="SR"/>
      </w:pPr>
      <w:r>
        <w:t>She is showing how much money is made from HeLa cells by different for-profit and nonprofit companies.</w:t>
      </w:r>
      <w:r w:rsidR="00FC7847">
        <w:t xml:space="preserve"> </w:t>
      </w:r>
      <w:r w:rsidR="00112842">
        <w:t>“What we do know is that today, Invitrogen sells HeL</w:t>
      </w:r>
      <w:r w:rsidR="009E6B5C">
        <w:t>a</w:t>
      </w:r>
      <w:r w:rsidR="00112842">
        <w:t xml:space="preserve"> products that cost anywhere </w:t>
      </w:r>
      <w:r w:rsidR="00E33C02">
        <w:t xml:space="preserve">from </w:t>
      </w:r>
      <w:r w:rsidR="00112842">
        <w:t>$100 to nearly $10,000 per vial”</w:t>
      </w:r>
      <w:r w:rsidR="009E6B5C">
        <w:t xml:space="preserve"> </w:t>
      </w:r>
      <w:r w:rsidR="00D948C3">
        <w:t>(</w:t>
      </w:r>
      <w:r w:rsidR="009E6B5C">
        <w:t>p. 194</w:t>
      </w:r>
      <w:r w:rsidR="00D948C3">
        <w:t>).</w:t>
      </w:r>
    </w:p>
    <w:p w:rsidR="004C3C91" w:rsidRDefault="004C3C91" w:rsidP="005E1E5E">
      <w:pPr>
        <w:pStyle w:val="Q"/>
      </w:pPr>
      <w:r>
        <w:t xml:space="preserve">Why can Skloot not </w:t>
      </w:r>
      <w:r w:rsidRPr="009B2160">
        <w:t>quantify</w:t>
      </w:r>
      <w:r>
        <w:t xml:space="preserve"> the professional gain made by scientists? What does </w:t>
      </w:r>
      <w:r w:rsidRPr="003D77CB">
        <w:rPr>
          <w:i/>
        </w:rPr>
        <w:t>quantify</w:t>
      </w:r>
      <w:r>
        <w:t xml:space="preserve"> mean? </w:t>
      </w:r>
    </w:p>
    <w:p w:rsidR="004C3C91" w:rsidRDefault="004C3C91" w:rsidP="003D77CB">
      <w:pPr>
        <w:pStyle w:val="SR"/>
      </w:pPr>
      <w:r>
        <w:t xml:space="preserve">She cannot </w:t>
      </w:r>
      <w:r w:rsidRPr="009B2160">
        <w:t>quantify</w:t>
      </w:r>
      <w:r>
        <w:t xml:space="preserve"> the professional gain because it is not in price per vial or in a number of patents. </w:t>
      </w:r>
      <w:r w:rsidRPr="00D948C3">
        <w:rPr>
          <w:i/>
        </w:rPr>
        <w:t>Quantify</w:t>
      </w:r>
      <w:r>
        <w:t xml:space="preserve"> means </w:t>
      </w:r>
      <w:r w:rsidR="00E33C02">
        <w:t>“</w:t>
      </w:r>
      <w:r>
        <w:t>to add up or to represent in numbers.</w:t>
      </w:r>
      <w:r w:rsidR="00E33C02">
        <w:t>”</w:t>
      </w:r>
      <w:r>
        <w:t xml:space="preserve"> </w:t>
      </w:r>
    </w:p>
    <w:p w:rsidR="004C3C91" w:rsidRDefault="004C3C91" w:rsidP="003D77CB">
      <w:pPr>
        <w:pStyle w:val="IN"/>
      </w:pPr>
      <w:r>
        <w:t xml:space="preserve">If students struggle with the word </w:t>
      </w:r>
      <w:r w:rsidRPr="00D948C3">
        <w:rPr>
          <w:i/>
        </w:rPr>
        <w:t>quantify</w:t>
      </w:r>
      <w:r>
        <w:t xml:space="preserve">, ask them to think of another word with the root “quant” (quantity). Guide them to see that </w:t>
      </w:r>
      <w:r w:rsidRPr="00D948C3">
        <w:rPr>
          <w:i/>
        </w:rPr>
        <w:t>quantity</w:t>
      </w:r>
      <w:r>
        <w:t xml:space="preserve"> means </w:t>
      </w:r>
      <w:r w:rsidR="00E33C02" w:rsidRPr="00BD3233">
        <w:t>"</w:t>
      </w:r>
      <w:r w:rsidRPr="009B2160">
        <w:t>amount</w:t>
      </w:r>
      <w:r w:rsidR="00E33C02" w:rsidRPr="009B2160">
        <w:t>”</w:t>
      </w:r>
      <w:r w:rsidRPr="00BD3233">
        <w:t xml:space="preserve"> </w:t>
      </w:r>
      <w:r>
        <w:t xml:space="preserve">and </w:t>
      </w:r>
      <w:r w:rsidR="00BD3233">
        <w:t xml:space="preserve">the suffix </w:t>
      </w:r>
      <w:r w:rsidR="00F423E5">
        <w:t>“</w:t>
      </w:r>
      <w:proofErr w:type="spellStart"/>
      <w:r w:rsidR="00F423E5">
        <w:t>ify</w:t>
      </w:r>
      <w:proofErr w:type="spellEnd"/>
      <w:r w:rsidR="00F423E5">
        <w:t xml:space="preserve">” means </w:t>
      </w:r>
      <w:r w:rsidR="00F423E5" w:rsidRPr="003D77CB">
        <w:rPr>
          <w:i/>
        </w:rPr>
        <w:t xml:space="preserve">to </w:t>
      </w:r>
      <w:r w:rsidR="00BD3233" w:rsidRPr="009B2160">
        <w:t>“</w:t>
      </w:r>
      <w:r w:rsidR="00F423E5" w:rsidRPr="009B2160">
        <w:t>make into</w:t>
      </w:r>
      <w:r w:rsidR="00F423E5" w:rsidRPr="00BD3233">
        <w:t>.</w:t>
      </w:r>
      <w:r w:rsidR="00BD3233" w:rsidRPr="00BD3233">
        <w:t>”</w:t>
      </w:r>
      <w:r w:rsidR="00E33C02">
        <w:t xml:space="preserve"> </w:t>
      </w:r>
      <w:r w:rsidR="00BD3233">
        <w:t xml:space="preserve">Therefore, </w:t>
      </w:r>
      <w:r w:rsidR="00E33C02" w:rsidRPr="009B2160">
        <w:rPr>
          <w:i/>
        </w:rPr>
        <w:t>quantify</w:t>
      </w:r>
      <w:r w:rsidR="00E33C02">
        <w:t xml:space="preserve"> means “to find or calculate the quantity or amount of something.”</w:t>
      </w:r>
    </w:p>
    <w:p w:rsidR="00F423E5" w:rsidRDefault="00F423E5" w:rsidP="00F423E5">
      <w:pPr>
        <w:pStyle w:val="Q"/>
      </w:pPr>
      <w:r>
        <w:t>Skloot begins this section with Hopkins’ claims that “Hopkins never made a cent off HeLa cells.” How is this statement refined by the information that follows?</w:t>
      </w:r>
    </w:p>
    <w:p w:rsidR="00F423E5" w:rsidRDefault="00F423E5" w:rsidP="00AD71AA">
      <w:pPr>
        <w:pStyle w:val="SR"/>
      </w:pPr>
      <w:r>
        <w:t xml:space="preserve">Skloot’s statements about the “many for-profit cell banks and </w:t>
      </w:r>
      <w:r w:rsidRPr="009B2160">
        <w:t>biotech</w:t>
      </w:r>
      <w:r>
        <w:t xml:space="preserve"> companies,” (p. 194) such as Microbiological Associates, and later Invitrogen and Bio Whittaker, did profit tremendously from the HeLa cells, even if they were given away for free. </w:t>
      </w:r>
    </w:p>
    <w:p w:rsidR="0067634C" w:rsidRPr="00A105C7" w:rsidRDefault="001379B0" w:rsidP="00AD71AA">
      <w:pPr>
        <w:pStyle w:val="SR"/>
        <w:rPr>
          <w:rFonts w:asciiTheme="minorHAnsi" w:hAnsiTheme="minorHAnsi"/>
        </w:rPr>
      </w:pPr>
      <w:r>
        <w:lastRenderedPageBreak/>
        <w:t>Skloot</w:t>
      </w:r>
      <w:r w:rsidR="0067634C" w:rsidRPr="00943371">
        <w:t xml:space="preserve"> </w:t>
      </w:r>
      <w:r w:rsidR="008D0553">
        <w:t>implies</w:t>
      </w:r>
      <w:r w:rsidR="00112842">
        <w:t xml:space="preserve"> that</w:t>
      </w:r>
      <w:r w:rsidR="0067634C" w:rsidRPr="00943371">
        <w:t xml:space="preserve"> Hopkins</w:t>
      </w:r>
      <w:r w:rsidR="00112842">
        <w:t>’ profit</w:t>
      </w:r>
      <w:r w:rsidR="0067634C" w:rsidRPr="00943371">
        <w:t xml:space="preserve"> is not limited to how much </w:t>
      </w:r>
      <w:proofErr w:type="spellStart"/>
      <w:r w:rsidR="0067634C" w:rsidRPr="00943371">
        <w:t>Gey</w:t>
      </w:r>
      <w:proofErr w:type="spellEnd"/>
      <w:r w:rsidR="0067634C" w:rsidRPr="00943371">
        <w:t xml:space="preserve"> sold the cells for, but to the </w:t>
      </w:r>
      <w:r w:rsidR="0067634C">
        <w:t>“</w:t>
      </w:r>
      <w:r w:rsidR="0067634C" w:rsidRPr="00943371">
        <w:t>professional gain</w:t>
      </w:r>
      <w:r w:rsidR="0067634C">
        <w:t xml:space="preserve">” </w:t>
      </w:r>
      <w:r w:rsidR="0067634C" w:rsidRPr="00943371">
        <w:t>that the HeLa cells</w:t>
      </w:r>
      <w:r w:rsidR="007B435F">
        <w:t xml:space="preserve"> and associated research</w:t>
      </w:r>
      <w:r w:rsidR="0067634C" w:rsidRPr="00943371">
        <w:t xml:space="preserve"> ha</w:t>
      </w:r>
      <w:r w:rsidR="007B435F">
        <w:t>s</w:t>
      </w:r>
      <w:r w:rsidR="0067634C" w:rsidRPr="00943371">
        <w:t xml:space="preserve"> provided</w:t>
      </w:r>
      <w:r>
        <w:t xml:space="preserve"> for many medical community members</w:t>
      </w:r>
      <w:r w:rsidR="0067634C" w:rsidRPr="00943371">
        <w:t xml:space="preserve">. </w:t>
      </w:r>
    </w:p>
    <w:p w:rsidR="006251E6" w:rsidRDefault="006251E6" w:rsidP="00A105C7">
      <w:pPr>
        <w:pStyle w:val="TA"/>
      </w:pPr>
      <w:r w:rsidRPr="006251E6">
        <w:t>Lead a brief whole-class discussion of student responses.</w:t>
      </w:r>
    </w:p>
    <w:p w:rsidR="00FC7847" w:rsidRPr="00846065" w:rsidRDefault="00FC7847" w:rsidP="00A905B3">
      <w:pPr>
        <w:pStyle w:val="BR"/>
      </w:pPr>
    </w:p>
    <w:p w:rsidR="00A905B3" w:rsidRPr="00336259" w:rsidRDefault="00C6201D" w:rsidP="00A905B3">
      <w:pPr>
        <w:pStyle w:val="TA"/>
      </w:pPr>
      <w:r w:rsidRPr="00A905B3">
        <w:rPr>
          <w:rStyle w:val="SRChar"/>
          <w:rFonts w:eastAsia="Calibri"/>
        </w:rPr>
        <w:t>Instruct student pairs to read from “</w:t>
      </w:r>
      <w:r>
        <w:rPr>
          <w:rFonts w:asciiTheme="minorHAnsi" w:hAnsiTheme="minorHAnsi"/>
        </w:rPr>
        <w:t>Lawrence and Sonny knew none of this</w:t>
      </w:r>
      <w:r w:rsidRPr="00C6201D">
        <w:t>” to “</w:t>
      </w:r>
      <w:r>
        <w:rPr>
          <w:rFonts w:asciiTheme="minorHAnsi" w:hAnsiTheme="minorHAnsi"/>
        </w:rPr>
        <w:t>and gave them to customers at Lawrence’s store</w:t>
      </w:r>
      <w:r w:rsidRPr="00C6201D">
        <w:t xml:space="preserve">” (pp. </w:t>
      </w:r>
      <w:r w:rsidR="00D948C3">
        <w:t>194–</w:t>
      </w:r>
      <w:r>
        <w:t>195</w:t>
      </w:r>
      <w:r w:rsidRPr="00C6201D">
        <w:t>)</w:t>
      </w:r>
      <w:r w:rsidR="00A905B3">
        <w:t xml:space="preserve"> and </w:t>
      </w:r>
      <w:r w:rsidR="00E33C02">
        <w:t xml:space="preserve">answer the following question before sharing out with the class. </w:t>
      </w:r>
      <w:r w:rsidR="00A905B3">
        <w:t xml:space="preserve">. Remind student pairs to annotate the text as they engage in the following evidence-based discussion. </w:t>
      </w:r>
    </w:p>
    <w:p w:rsidR="00904CD2" w:rsidRDefault="00E01900" w:rsidP="00E1778E">
      <w:pPr>
        <w:pStyle w:val="Q"/>
      </w:pPr>
      <w:r>
        <w:t xml:space="preserve">What </w:t>
      </w:r>
      <w:r w:rsidR="00DC69CE">
        <w:t>is the effect of including th</w:t>
      </w:r>
      <w:r w:rsidR="00A905B3">
        <w:t>e</w:t>
      </w:r>
      <w:r w:rsidR="00DC69CE">
        <w:t xml:space="preserve"> information about the Lacks family right after the information about HeLa</w:t>
      </w:r>
      <w:r w:rsidR="00A905B3">
        <w:t xml:space="preserve"> profits</w:t>
      </w:r>
      <w:r w:rsidR="00DC69CE">
        <w:t>?</w:t>
      </w:r>
      <w:r>
        <w:t xml:space="preserve"> </w:t>
      </w:r>
    </w:p>
    <w:p w:rsidR="003D77CB" w:rsidRDefault="003D77CB" w:rsidP="003D77CB">
      <w:pPr>
        <w:pStyle w:val="SR"/>
      </w:pPr>
      <w:r>
        <w:t>Student responses may include</w:t>
      </w:r>
      <w:r w:rsidR="0007426F">
        <w:t>:</w:t>
      </w:r>
    </w:p>
    <w:p w:rsidR="00DC69CE" w:rsidRDefault="00DC69CE" w:rsidP="003D77CB">
      <w:pPr>
        <w:pStyle w:val="SASRBullet"/>
      </w:pPr>
      <w:r>
        <w:t>It serves to</w:t>
      </w:r>
      <w:r w:rsidR="00E1778E">
        <w:t xml:space="preserve"> </w:t>
      </w:r>
      <w:r w:rsidR="0010203C">
        <w:t xml:space="preserve">highlight </w:t>
      </w:r>
      <w:proofErr w:type="gramStart"/>
      <w:r w:rsidR="00E1778E">
        <w:t>the</w:t>
      </w:r>
      <w:r w:rsidR="0010203C">
        <w:t xml:space="preserve"> disconnect</w:t>
      </w:r>
      <w:proofErr w:type="gramEnd"/>
      <w:r w:rsidR="0010203C">
        <w:t xml:space="preserve"> between</w:t>
      </w:r>
      <w:r w:rsidR="00E1778E">
        <w:t xml:space="preserve"> </w:t>
      </w:r>
      <w:r w:rsidR="00C6227F">
        <w:t xml:space="preserve">the Lacks </w:t>
      </w:r>
      <w:r w:rsidR="00E1778E">
        <w:t xml:space="preserve">family </w:t>
      </w:r>
      <w:r w:rsidR="0010203C">
        <w:t xml:space="preserve">and </w:t>
      </w:r>
      <w:r w:rsidR="00E1778E">
        <w:t>the medical community.</w:t>
      </w:r>
      <w:r w:rsidR="00A905B3">
        <w:t xml:space="preserve"> “Lawrence and Sonny knew none of this”</w:t>
      </w:r>
      <w:r w:rsidR="0055173D">
        <w:t xml:space="preserve"> (p. 194).</w:t>
      </w:r>
    </w:p>
    <w:p w:rsidR="00B5383C" w:rsidRDefault="00DC69CE" w:rsidP="003D77CB">
      <w:pPr>
        <w:pStyle w:val="SASRBullet"/>
      </w:pPr>
      <w:r>
        <w:t>It underscores the lack of control the Lacks family has over the HeLa cells and how they are used.</w:t>
      </w:r>
      <w:r w:rsidR="00E1778E">
        <w:t xml:space="preserve"> </w:t>
      </w:r>
      <w:r w:rsidR="00A905B3">
        <w:t>“</w:t>
      </w:r>
      <w:r w:rsidR="006E20AC">
        <w:t xml:space="preserve">. . . </w:t>
      </w:r>
      <w:proofErr w:type="gramStart"/>
      <w:r w:rsidR="00A905B3">
        <w:t>they</w:t>
      </w:r>
      <w:proofErr w:type="gramEnd"/>
      <w:r w:rsidR="00A905B3">
        <w:t xml:space="preserve"> made handouts about Henrietta Lack’s family being owed their due, and gave them to customers at Lawrence’s store”</w:t>
      </w:r>
      <w:r w:rsidR="0055173D">
        <w:t xml:space="preserve"> (p. 195)</w:t>
      </w:r>
      <w:r w:rsidR="00E47A93">
        <w:t>.</w:t>
      </w:r>
    </w:p>
    <w:p w:rsidR="00835F07" w:rsidRDefault="00835F07" w:rsidP="00E031D6">
      <w:pPr>
        <w:pStyle w:val="BR"/>
      </w:pPr>
    </w:p>
    <w:p w:rsidR="00E1778E" w:rsidRDefault="008A69F4" w:rsidP="00904CD2">
      <w:pPr>
        <w:pStyle w:val="TA"/>
      </w:pPr>
      <w:r>
        <w:rPr>
          <w:rFonts w:asciiTheme="minorHAnsi" w:hAnsiTheme="minorHAnsi"/>
        </w:rPr>
        <w:t xml:space="preserve">Ask </w:t>
      </w:r>
      <w:r w:rsidR="008A43D4">
        <w:rPr>
          <w:rFonts w:asciiTheme="minorHAnsi" w:hAnsiTheme="minorHAnsi"/>
        </w:rPr>
        <w:t xml:space="preserve">students </w:t>
      </w:r>
      <w:r>
        <w:rPr>
          <w:rFonts w:asciiTheme="minorHAnsi" w:hAnsiTheme="minorHAnsi"/>
        </w:rPr>
        <w:t>to</w:t>
      </w:r>
      <w:r w:rsidR="00904CD2">
        <w:rPr>
          <w:rFonts w:asciiTheme="minorHAnsi" w:hAnsiTheme="minorHAnsi"/>
        </w:rPr>
        <w:t xml:space="preserve"> look </w:t>
      </w:r>
      <w:r w:rsidR="003700AB">
        <w:rPr>
          <w:rFonts w:asciiTheme="minorHAnsi" w:hAnsiTheme="minorHAnsi"/>
        </w:rPr>
        <w:t xml:space="preserve">more </w:t>
      </w:r>
      <w:r w:rsidR="00904CD2">
        <w:rPr>
          <w:rFonts w:asciiTheme="minorHAnsi" w:hAnsiTheme="minorHAnsi"/>
        </w:rPr>
        <w:t xml:space="preserve">closely at the </w:t>
      </w:r>
      <w:r w:rsidR="00810F22">
        <w:rPr>
          <w:rFonts w:asciiTheme="minorHAnsi" w:hAnsiTheme="minorHAnsi"/>
        </w:rPr>
        <w:t>five</w:t>
      </w:r>
      <w:r w:rsidR="00904CD2">
        <w:rPr>
          <w:rFonts w:asciiTheme="minorHAnsi" w:hAnsiTheme="minorHAnsi"/>
        </w:rPr>
        <w:t xml:space="preserve"> paragraphs about Deborah </w:t>
      </w:r>
      <w:r w:rsidR="009A051F">
        <w:rPr>
          <w:rFonts w:asciiTheme="minorHAnsi" w:hAnsiTheme="minorHAnsi"/>
        </w:rPr>
        <w:t>on pages</w:t>
      </w:r>
      <w:r w:rsidR="00904CD2">
        <w:rPr>
          <w:rFonts w:asciiTheme="minorHAnsi" w:hAnsiTheme="minorHAnsi"/>
        </w:rPr>
        <w:t xml:space="preserve"> 195</w:t>
      </w:r>
      <w:r w:rsidR="00325797">
        <w:t>–</w:t>
      </w:r>
      <w:r w:rsidR="00904CD2">
        <w:rPr>
          <w:rFonts w:asciiTheme="minorHAnsi" w:hAnsiTheme="minorHAnsi"/>
        </w:rPr>
        <w:t xml:space="preserve">197. </w:t>
      </w:r>
      <w:r w:rsidR="009A051F">
        <w:rPr>
          <w:rFonts w:asciiTheme="minorHAnsi" w:hAnsiTheme="minorHAnsi"/>
        </w:rPr>
        <w:t>Instruct</w:t>
      </w:r>
      <w:r w:rsidR="008B23CD">
        <w:rPr>
          <w:rFonts w:asciiTheme="minorHAnsi" w:hAnsiTheme="minorHAnsi"/>
        </w:rPr>
        <w:t xml:space="preserve"> student</w:t>
      </w:r>
      <w:r w:rsidR="008A43D4">
        <w:rPr>
          <w:rFonts w:asciiTheme="minorHAnsi" w:hAnsiTheme="minorHAnsi"/>
        </w:rPr>
        <w:t xml:space="preserve"> pairs</w:t>
      </w:r>
      <w:r w:rsidR="009A051F">
        <w:rPr>
          <w:rFonts w:asciiTheme="minorHAnsi" w:hAnsiTheme="minorHAnsi"/>
        </w:rPr>
        <w:t xml:space="preserve"> to</w:t>
      </w:r>
      <w:r w:rsidR="008B23CD">
        <w:rPr>
          <w:rFonts w:asciiTheme="minorHAnsi" w:hAnsiTheme="minorHAnsi"/>
        </w:rPr>
        <w:t xml:space="preserve"> read and </w:t>
      </w:r>
      <w:r w:rsidR="008B23CD" w:rsidRPr="00D56B7C">
        <w:t>annota</w:t>
      </w:r>
      <w:r w:rsidR="008B23CD">
        <w:t>te</w:t>
      </w:r>
      <w:r w:rsidR="008B23CD" w:rsidRPr="00D56B7C">
        <w:t xml:space="preserve"> </w:t>
      </w:r>
      <w:r w:rsidR="00810F22">
        <w:t xml:space="preserve">the Deborah-focused section </w:t>
      </w:r>
      <w:r w:rsidR="008B23CD" w:rsidRPr="00D56B7C">
        <w:t>from “</w:t>
      </w:r>
      <w:r w:rsidR="008B23CD">
        <w:t>Deborah wanted nothing to do with fighting Hopkins</w:t>
      </w:r>
      <w:r w:rsidR="008B23CD" w:rsidRPr="00D56B7C">
        <w:t>”</w:t>
      </w:r>
      <w:r w:rsidR="008B23CD">
        <w:t xml:space="preserve"> (p.195)</w:t>
      </w:r>
      <w:r w:rsidR="008B23CD" w:rsidRPr="00D56B7C">
        <w:t xml:space="preserve"> to “</w:t>
      </w:r>
      <w:r w:rsidR="008A43D4" w:rsidRPr="00846065">
        <w:rPr>
          <w:i/>
        </w:rPr>
        <w:t xml:space="preserve">least they can do is </w:t>
      </w:r>
      <w:r w:rsidR="008B23CD" w:rsidRPr="008B23CD">
        <w:rPr>
          <w:i/>
        </w:rPr>
        <w:t>give her credit for it</w:t>
      </w:r>
      <w:r w:rsidR="008B23CD" w:rsidRPr="00D56B7C">
        <w:t>”</w:t>
      </w:r>
      <w:r w:rsidR="008B23CD">
        <w:t xml:space="preserve"> (p. 197</w:t>
      </w:r>
      <w:r w:rsidR="00F423BB">
        <w:t xml:space="preserve">) </w:t>
      </w:r>
      <w:r w:rsidR="00510582">
        <w:t xml:space="preserve">to identify </w:t>
      </w:r>
      <w:r w:rsidR="00F3698A">
        <w:rPr>
          <w:rFonts w:asciiTheme="minorHAnsi" w:hAnsiTheme="minorHAnsi"/>
        </w:rPr>
        <w:t>ideas that are developed or refined in this section</w:t>
      </w:r>
      <w:r w:rsidR="008A43D4">
        <w:t>.</w:t>
      </w:r>
    </w:p>
    <w:p w:rsidR="00E1778E" w:rsidRDefault="002B5FDF" w:rsidP="00E1778E">
      <w:pPr>
        <w:pStyle w:val="SA"/>
      </w:pPr>
      <w:r>
        <w:t>Student</w:t>
      </w:r>
      <w:r w:rsidR="007708EA">
        <w:t xml:space="preserve"> pairs</w:t>
      </w:r>
      <w:r>
        <w:t xml:space="preserve"> annotate </w:t>
      </w:r>
      <w:r w:rsidR="00A72F65">
        <w:t>pages 195–</w:t>
      </w:r>
      <w:r w:rsidR="00F3698A">
        <w:t xml:space="preserve">197 </w:t>
      </w:r>
      <w:r>
        <w:t xml:space="preserve">for </w:t>
      </w:r>
      <w:r w:rsidR="00F3698A">
        <w:rPr>
          <w:rFonts w:asciiTheme="minorHAnsi" w:hAnsiTheme="minorHAnsi"/>
        </w:rPr>
        <w:t>ideas that are developed or refined in this section</w:t>
      </w:r>
      <w:r>
        <w:t xml:space="preserve">. </w:t>
      </w:r>
    </w:p>
    <w:p w:rsidR="00BA36E9" w:rsidRDefault="008A69F4" w:rsidP="009B4696">
      <w:pPr>
        <w:pStyle w:val="IN"/>
      </w:pPr>
      <w:r>
        <w:t xml:space="preserve">Inform </w:t>
      </w:r>
      <w:r w:rsidR="009B4696">
        <w:t>students</w:t>
      </w:r>
      <w:r w:rsidR="001A4B4B">
        <w:t xml:space="preserve"> that there </w:t>
      </w:r>
      <w:r w:rsidR="009B4696">
        <w:t>is one section of text that shows a journal entry by Deborah. Explain that they should not try to analyze the grammatical errors, but instead look carefully at what Deborah is saying. Explain that they should think about why Skloot decided to include the whole journal entry instead of just summarizing what Deborah wrote.</w:t>
      </w:r>
      <w:r w:rsidR="00BA36E9">
        <w:t xml:space="preserve"> You may want to ask students:</w:t>
      </w:r>
    </w:p>
    <w:p w:rsidR="00BA36E9" w:rsidRDefault="00BA36E9" w:rsidP="001D1AC3">
      <w:pPr>
        <w:pStyle w:val="INBullet"/>
      </w:pPr>
      <w:r>
        <w:t>When would you decide to use someone’s exact words instead of just paraphrasing what they said?</w:t>
      </w:r>
    </w:p>
    <w:p w:rsidR="009B4696" w:rsidRDefault="00BA36E9" w:rsidP="001D1AC3">
      <w:pPr>
        <w:pStyle w:val="INBullet"/>
      </w:pPr>
      <w:r>
        <w:t xml:space="preserve">What kind of information is in a journal entry? Why might that kind of information be significant?  </w:t>
      </w:r>
    </w:p>
    <w:p w:rsidR="00E031D6" w:rsidRPr="00E1778E" w:rsidRDefault="00E1778E" w:rsidP="00E031D6">
      <w:pPr>
        <w:pStyle w:val="TA"/>
      </w:pPr>
      <w:r w:rsidRPr="00E1778E">
        <w:lastRenderedPageBreak/>
        <w:t xml:space="preserve">When students finish, </w:t>
      </w:r>
      <w:r w:rsidRPr="00E1778E">
        <w:rPr>
          <w:rFonts w:asciiTheme="minorHAnsi" w:hAnsiTheme="minorHAnsi"/>
        </w:rPr>
        <w:t>i</w:t>
      </w:r>
      <w:r w:rsidR="00E031D6" w:rsidRPr="00E1778E">
        <w:rPr>
          <w:rFonts w:asciiTheme="minorHAnsi" w:hAnsiTheme="minorHAnsi"/>
        </w:rPr>
        <w:t xml:space="preserve">nstruct </w:t>
      </w:r>
      <w:r w:rsidRPr="00E1778E">
        <w:rPr>
          <w:rFonts w:asciiTheme="minorHAnsi" w:hAnsiTheme="minorHAnsi"/>
        </w:rPr>
        <w:t>them</w:t>
      </w:r>
      <w:r w:rsidR="00E031D6" w:rsidRPr="00E1778E">
        <w:rPr>
          <w:rFonts w:asciiTheme="minorHAnsi" w:hAnsiTheme="minorHAnsi"/>
        </w:rPr>
        <w:t xml:space="preserve"> to examine</w:t>
      </w:r>
      <w:r w:rsidR="007708EA">
        <w:rPr>
          <w:rFonts w:asciiTheme="minorHAnsi" w:hAnsiTheme="minorHAnsi"/>
        </w:rPr>
        <w:t xml:space="preserve"> the</w:t>
      </w:r>
      <w:r w:rsidR="00E031D6" w:rsidRPr="00E1778E">
        <w:rPr>
          <w:rFonts w:asciiTheme="minorHAnsi" w:hAnsiTheme="minorHAnsi"/>
        </w:rPr>
        <w:t xml:space="preserve"> </w:t>
      </w:r>
      <w:r w:rsidR="00E76335">
        <w:rPr>
          <w:rFonts w:asciiTheme="minorHAnsi" w:hAnsiTheme="minorHAnsi"/>
        </w:rPr>
        <w:t>annotation from pages 195–197</w:t>
      </w:r>
      <w:r w:rsidR="005A151B">
        <w:rPr>
          <w:rFonts w:asciiTheme="minorHAnsi" w:hAnsiTheme="minorHAnsi"/>
        </w:rPr>
        <w:t xml:space="preserve"> and choose two</w:t>
      </w:r>
      <w:r w:rsidR="00E031D6" w:rsidRPr="00E1778E">
        <w:rPr>
          <w:rFonts w:asciiTheme="minorHAnsi" w:hAnsiTheme="minorHAnsi"/>
        </w:rPr>
        <w:t xml:space="preserve"> annotations that best </w:t>
      </w:r>
      <w:r w:rsidR="0095622F">
        <w:rPr>
          <w:rFonts w:asciiTheme="minorHAnsi" w:hAnsiTheme="minorHAnsi"/>
        </w:rPr>
        <w:t>illustrate idea</w:t>
      </w:r>
      <w:r w:rsidR="00F3698A">
        <w:rPr>
          <w:rFonts w:asciiTheme="minorHAnsi" w:hAnsiTheme="minorHAnsi"/>
        </w:rPr>
        <w:t>s that are developed or refined in this section</w:t>
      </w:r>
      <w:r w:rsidR="00E031D6" w:rsidRPr="00E1778E">
        <w:rPr>
          <w:rFonts w:asciiTheme="minorHAnsi" w:hAnsiTheme="minorHAnsi"/>
        </w:rPr>
        <w:t>.</w:t>
      </w:r>
    </w:p>
    <w:p w:rsidR="00E031D6" w:rsidRPr="00E1778E" w:rsidRDefault="00E031D6" w:rsidP="00E1778E">
      <w:pPr>
        <w:pStyle w:val="SA"/>
      </w:pPr>
      <w:r w:rsidRPr="00E1778E">
        <w:t xml:space="preserve">Students examine </w:t>
      </w:r>
      <w:r w:rsidR="00A72F65">
        <w:t>annotation from pages 195</w:t>
      </w:r>
      <w:r w:rsidR="00A72F65">
        <w:rPr>
          <w:rFonts w:asciiTheme="minorHAnsi" w:hAnsiTheme="minorHAnsi"/>
        </w:rPr>
        <w:t>–</w:t>
      </w:r>
      <w:r w:rsidR="00E76335">
        <w:t>197</w:t>
      </w:r>
      <w:r w:rsidR="005A151B">
        <w:t xml:space="preserve"> and </w:t>
      </w:r>
      <w:r w:rsidRPr="00E1778E">
        <w:t xml:space="preserve">choose </w:t>
      </w:r>
      <w:r w:rsidR="005A151B">
        <w:rPr>
          <w:rFonts w:asciiTheme="minorHAnsi" w:hAnsiTheme="minorHAnsi"/>
        </w:rPr>
        <w:t>two</w:t>
      </w:r>
      <w:r w:rsidR="0095622F" w:rsidRPr="00E1778E">
        <w:rPr>
          <w:rFonts w:asciiTheme="minorHAnsi" w:hAnsiTheme="minorHAnsi"/>
        </w:rPr>
        <w:t xml:space="preserve"> annotations that best </w:t>
      </w:r>
      <w:r w:rsidR="0095622F">
        <w:rPr>
          <w:rFonts w:asciiTheme="minorHAnsi" w:hAnsiTheme="minorHAnsi"/>
        </w:rPr>
        <w:t xml:space="preserve">illustrate </w:t>
      </w:r>
      <w:r w:rsidR="00527F3B">
        <w:rPr>
          <w:rFonts w:asciiTheme="minorHAnsi" w:hAnsiTheme="minorHAnsi"/>
        </w:rPr>
        <w:t>ideas that are developed or refined</w:t>
      </w:r>
      <w:r w:rsidR="00E1778E" w:rsidRPr="00E1778E">
        <w:rPr>
          <w:rFonts w:asciiTheme="minorHAnsi" w:hAnsiTheme="minorHAnsi"/>
        </w:rPr>
        <w:t>.</w:t>
      </w:r>
    </w:p>
    <w:p w:rsidR="009B4696" w:rsidRPr="00E1778E" w:rsidRDefault="00E031D6" w:rsidP="00E031D6">
      <w:pPr>
        <w:pStyle w:val="TA"/>
        <w:rPr>
          <w:rFonts w:asciiTheme="minorHAnsi" w:hAnsiTheme="minorHAnsi"/>
        </w:rPr>
      </w:pPr>
      <w:r w:rsidRPr="00E1778E">
        <w:rPr>
          <w:rFonts w:asciiTheme="minorHAnsi" w:hAnsiTheme="minorHAnsi"/>
        </w:rPr>
        <w:t>Instruct students to complete a Turn-and-Talk</w:t>
      </w:r>
      <w:r w:rsidR="005A151B">
        <w:rPr>
          <w:rFonts w:asciiTheme="minorHAnsi" w:hAnsiTheme="minorHAnsi"/>
        </w:rPr>
        <w:t xml:space="preserve"> with a </w:t>
      </w:r>
      <w:r w:rsidR="009E21D2">
        <w:rPr>
          <w:rFonts w:asciiTheme="minorHAnsi" w:hAnsiTheme="minorHAnsi"/>
        </w:rPr>
        <w:t>classmate</w:t>
      </w:r>
      <w:r w:rsidR="005A151B">
        <w:rPr>
          <w:rFonts w:asciiTheme="minorHAnsi" w:hAnsiTheme="minorHAnsi"/>
        </w:rPr>
        <w:t xml:space="preserve"> about their two</w:t>
      </w:r>
      <w:r w:rsidR="00C93D6A">
        <w:rPr>
          <w:rFonts w:asciiTheme="minorHAnsi" w:hAnsiTheme="minorHAnsi"/>
        </w:rPr>
        <w:t xml:space="preserve"> annotations</w:t>
      </w:r>
      <w:r w:rsidRPr="00E1778E">
        <w:rPr>
          <w:rFonts w:asciiTheme="minorHAnsi" w:hAnsiTheme="minorHAnsi"/>
        </w:rPr>
        <w:t xml:space="preserve">, specifically discussing why the annotation best </w:t>
      </w:r>
      <w:r w:rsidR="0095622F">
        <w:rPr>
          <w:rFonts w:asciiTheme="minorHAnsi" w:hAnsiTheme="minorHAnsi"/>
        </w:rPr>
        <w:t xml:space="preserve">illustrates </w:t>
      </w:r>
      <w:r w:rsidR="00F3698A">
        <w:rPr>
          <w:rFonts w:asciiTheme="minorHAnsi" w:hAnsiTheme="minorHAnsi"/>
        </w:rPr>
        <w:t>ideas that are developed or refined in this section</w:t>
      </w:r>
      <w:r w:rsidR="00E1778E" w:rsidRPr="00E1778E">
        <w:rPr>
          <w:rFonts w:asciiTheme="minorHAnsi" w:hAnsiTheme="minorHAnsi"/>
        </w:rPr>
        <w:t>.</w:t>
      </w:r>
    </w:p>
    <w:p w:rsidR="00E031D6" w:rsidRPr="00E1778E" w:rsidRDefault="00E1778E" w:rsidP="00E1778E">
      <w:pPr>
        <w:pStyle w:val="SR"/>
      </w:pPr>
      <w:r>
        <w:t xml:space="preserve"> </w:t>
      </w:r>
      <w:r w:rsidR="00E031D6" w:rsidRPr="00E1778E">
        <w:t>Annotation discussed may include:</w:t>
      </w:r>
    </w:p>
    <w:p w:rsidR="00E76335" w:rsidRDefault="00E76335" w:rsidP="00E031D6">
      <w:pPr>
        <w:pStyle w:val="SASRBullet"/>
      </w:pPr>
      <w:r w:rsidRPr="00E76335">
        <w:t>Exclamation point</w:t>
      </w:r>
      <w:r w:rsidR="00E031D6" w:rsidRPr="00E76335">
        <w:t xml:space="preserve"> next to </w:t>
      </w:r>
      <w:r w:rsidRPr="00E76335">
        <w:t>“I was brought up to be quiet, no talking, just listen” (p.</w:t>
      </w:r>
      <w:r w:rsidR="009B2160">
        <w:t xml:space="preserve"> </w:t>
      </w:r>
      <w:r w:rsidRPr="00E76335">
        <w:t>195)</w:t>
      </w:r>
      <w:r w:rsidR="00A72F65">
        <w:t>.</w:t>
      </w:r>
      <w:r w:rsidRPr="00E76335">
        <w:t xml:space="preserve"> </w:t>
      </w:r>
      <w:r w:rsidR="008A43D4">
        <w:t>This</w:t>
      </w:r>
      <w:r w:rsidRPr="00E76335">
        <w:t xml:space="preserve"> may be </w:t>
      </w:r>
      <w:r w:rsidR="008A43D4">
        <w:t>included to show how</w:t>
      </w:r>
      <w:r w:rsidR="002B5FDF">
        <w:t xml:space="preserve"> the Lacks family has</w:t>
      </w:r>
      <w:r w:rsidRPr="00E76335">
        <w:t xml:space="preserve"> dealt with authority, </w:t>
      </w:r>
      <w:r w:rsidR="002B5FDF">
        <w:t xml:space="preserve">including the medical community, </w:t>
      </w:r>
      <w:r w:rsidRPr="00E76335">
        <w:t xml:space="preserve">which </w:t>
      </w:r>
      <w:r w:rsidR="002B5FDF">
        <w:t>may make them more vulnerable</w:t>
      </w:r>
      <w:r w:rsidR="00A72F65">
        <w:t xml:space="preserve"> (p. 195)</w:t>
      </w:r>
      <w:r w:rsidRPr="00E76335">
        <w:t>.</w:t>
      </w:r>
    </w:p>
    <w:p w:rsidR="00E76335" w:rsidRPr="00A105C7" w:rsidRDefault="00E76335" w:rsidP="00E031D6">
      <w:pPr>
        <w:pStyle w:val="SASRBullet"/>
      </w:pPr>
      <w:r w:rsidRPr="009B4696">
        <w:rPr>
          <w:rFonts w:asciiTheme="minorHAnsi" w:hAnsiTheme="minorHAnsi"/>
        </w:rPr>
        <w:t>Star next to “</w:t>
      </w:r>
      <w:r w:rsidRPr="00DC22A3">
        <w:rPr>
          <w:rFonts w:asciiTheme="minorHAnsi" w:hAnsiTheme="minorHAnsi"/>
          <w:i/>
        </w:rPr>
        <w:t xml:space="preserve">You see I am trying to </w:t>
      </w:r>
      <w:r w:rsidR="009B4696" w:rsidRPr="00DC22A3">
        <w:rPr>
          <w:rFonts w:asciiTheme="minorHAnsi" w:hAnsiTheme="minorHAnsi"/>
          <w:i/>
        </w:rPr>
        <w:t>relive that day in my mind.</w:t>
      </w:r>
      <w:r w:rsidR="009B4696" w:rsidRPr="009B4696">
        <w:rPr>
          <w:rFonts w:asciiTheme="minorHAnsi" w:hAnsiTheme="minorHAnsi"/>
        </w:rPr>
        <w:t>”</w:t>
      </w:r>
      <w:r w:rsidR="00E031D6" w:rsidRPr="009B4696">
        <w:rPr>
          <w:rFonts w:asciiTheme="minorHAnsi" w:hAnsiTheme="minorHAnsi"/>
        </w:rPr>
        <w:t xml:space="preserve"> </w:t>
      </w:r>
      <w:r w:rsidR="009B4696" w:rsidRPr="009B4696">
        <w:rPr>
          <w:rFonts w:asciiTheme="minorHAnsi" w:hAnsiTheme="minorHAnsi"/>
        </w:rPr>
        <w:t>This part shows the human story of Henrietta</w:t>
      </w:r>
      <w:r w:rsidR="00A72F65">
        <w:rPr>
          <w:rFonts w:asciiTheme="minorHAnsi" w:hAnsiTheme="minorHAnsi"/>
        </w:rPr>
        <w:t>—</w:t>
      </w:r>
      <w:r w:rsidR="009B4696" w:rsidRPr="009B4696">
        <w:rPr>
          <w:rFonts w:asciiTheme="minorHAnsi" w:hAnsiTheme="minorHAnsi"/>
        </w:rPr>
        <w:t>the one of a dying woman and a troubled family, which supports the idea that the invasion of her</w:t>
      </w:r>
      <w:r w:rsidR="009B4696">
        <w:rPr>
          <w:rFonts w:asciiTheme="minorHAnsi" w:hAnsiTheme="minorHAnsi"/>
        </w:rPr>
        <w:t xml:space="preserve"> body at that time for research added insult to injury</w:t>
      </w:r>
      <w:r w:rsidR="009B4696" w:rsidRPr="009B4696">
        <w:rPr>
          <w:rFonts w:asciiTheme="minorHAnsi" w:hAnsiTheme="minorHAnsi"/>
        </w:rPr>
        <w:t>.</w:t>
      </w:r>
      <w:r w:rsidR="008A43D4">
        <w:rPr>
          <w:rFonts w:asciiTheme="minorHAnsi" w:hAnsiTheme="minorHAnsi"/>
        </w:rPr>
        <w:t xml:space="preserve"> </w:t>
      </w:r>
      <w:r w:rsidR="002B5FDF">
        <w:rPr>
          <w:rFonts w:asciiTheme="minorHAnsi" w:hAnsiTheme="minorHAnsi"/>
        </w:rPr>
        <w:t>Additionally, t</w:t>
      </w:r>
      <w:r w:rsidR="008A43D4">
        <w:rPr>
          <w:rFonts w:asciiTheme="minorHAnsi" w:hAnsiTheme="minorHAnsi"/>
        </w:rPr>
        <w:t xml:space="preserve">his </w:t>
      </w:r>
      <w:r w:rsidR="002B5FDF">
        <w:rPr>
          <w:rFonts w:asciiTheme="minorHAnsi" w:hAnsiTheme="minorHAnsi"/>
        </w:rPr>
        <w:t xml:space="preserve">part </w:t>
      </w:r>
      <w:r w:rsidR="008A43D4">
        <w:rPr>
          <w:rFonts w:asciiTheme="minorHAnsi" w:hAnsiTheme="minorHAnsi"/>
        </w:rPr>
        <w:t xml:space="preserve">shows the injury Hopkins </w:t>
      </w:r>
      <w:r w:rsidR="002B5FDF">
        <w:rPr>
          <w:rFonts w:asciiTheme="minorHAnsi" w:hAnsiTheme="minorHAnsi"/>
        </w:rPr>
        <w:t>committed against</w:t>
      </w:r>
      <w:r w:rsidR="008A43D4">
        <w:rPr>
          <w:rFonts w:asciiTheme="minorHAnsi" w:hAnsiTheme="minorHAnsi"/>
        </w:rPr>
        <w:t xml:space="preserve"> Henrietta did not stop with Henrietta, but the pain and damage continues </w:t>
      </w:r>
      <w:r w:rsidR="000105DD">
        <w:rPr>
          <w:rFonts w:asciiTheme="minorHAnsi" w:hAnsiTheme="minorHAnsi"/>
        </w:rPr>
        <w:t>with</w:t>
      </w:r>
      <w:r w:rsidR="008A43D4">
        <w:rPr>
          <w:rFonts w:asciiTheme="minorHAnsi" w:hAnsiTheme="minorHAnsi"/>
        </w:rPr>
        <w:t xml:space="preserve"> Deborah</w:t>
      </w:r>
      <w:r w:rsidR="00A72F65">
        <w:rPr>
          <w:rFonts w:asciiTheme="minorHAnsi" w:hAnsiTheme="minorHAnsi"/>
        </w:rPr>
        <w:t xml:space="preserve"> </w:t>
      </w:r>
      <w:r w:rsidR="00A72F65">
        <w:t>(p. 195)</w:t>
      </w:r>
      <w:r w:rsidR="008A43D4">
        <w:rPr>
          <w:rFonts w:asciiTheme="minorHAnsi" w:hAnsiTheme="minorHAnsi"/>
        </w:rPr>
        <w:t xml:space="preserve">. </w:t>
      </w:r>
    </w:p>
    <w:p w:rsidR="00C6201D" w:rsidRPr="009B4696" w:rsidRDefault="00C6201D" w:rsidP="00E031D6">
      <w:pPr>
        <w:pStyle w:val="SASRBullet"/>
      </w:pPr>
      <w:r>
        <w:t>Star next to “the side for Black’s only, oh yes, I know.” This suggests that</w:t>
      </w:r>
      <w:r w:rsidR="00385832">
        <w:t xml:space="preserve"> Deborah understood the segregation her mother faced at</w:t>
      </w:r>
      <w:r>
        <w:t xml:space="preserve"> Johns Hopkins</w:t>
      </w:r>
      <w:r w:rsidR="00A72F65">
        <w:t xml:space="preserve"> (p. 195)</w:t>
      </w:r>
      <w:r w:rsidR="00306FF1">
        <w:t>.</w:t>
      </w:r>
    </w:p>
    <w:p w:rsidR="00E76335" w:rsidRPr="00E76335" w:rsidRDefault="009B4696" w:rsidP="00E031D6">
      <w:pPr>
        <w:pStyle w:val="SASRBullet"/>
      </w:pPr>
      <w:r w:rsidRPr="009B4696">
        <w:rPr>
          <w:rFonts w:asciiTheme="minorHAnsi" w:hAnsiTheme="minorHAnsi"/>
        </w:rPr>
        <w:t>Exclamation point next to “</w:t>
      </w:r>
      <w:r w:rsidRPr="00DC22A3">
        <w:rPr>
          <w:rFonts w:asciiTheme="minorHAnsi" w:hAnsiTheme="minorHAnsi"/>
          <w:i/>
        </w:rPr>
        <w:t xml:space="preserve">No No </w:t>
      </w:r>
      <w:proofErr w:type="spellStart"/>
      <w:r w:rsidRPr="00DC22A3">
        <w:rPr>
          <w:rFonts w:asciiTheme="minorHAnsi" w:hAnsiTheme="minorHAnsi"/>
          <w:i/>
        </w:rPr>
        <w:t>No</w:t>
      </w:r>
      <w:proofErr w:type="spellEnd"/>
      <w:r w:rsidRPr="00DC22A3">
        <w:rPr>
          <w:rFonts w:asciiTheme="minorHAnsi" w:hAnsiTheme="minorHAnsi"/>
          <w:i/>
        </w:rPr>
        <w:t>. Robbed self</w:t>
      </w:r>
      <w:r w:rsidRPr="009B4696">
        <w:rPr>
          <w:rFonts w:asciiTheme="minorHAnsi" w:hAnsiTheme="minorHAnsi"/>
        </w:rPr>
        <w:t>.” (p. 196). “Robbed self” could mean that Henrietta herself was robbed, but it could also apply to her – they robbed her of her</w:t>
      </w:r>
      <w:r>
        <w:rPr>
          <w:rFonts w:asciiTheme="minorHAnsi" w:hAnsiTheme="minorHAnsi"/>
        </w:rPr>
        <w:t xml:space="preserve"> mother and of herself. </w:t>
      </w:r>
      <w:r w:rsidR="00A00EAB">
        <w:rPr>
          <w:rFonts w:asciiTheme="minorHAnsi" w:hAnsiTheme="minorHAnsi"/>
        </w:rPr>
        <w:t xml:space="preserve">Skloot may have included this to show how violated Deborah feels and </w:t>
      </w:r>
      <w:r w:rsidR="008A69F4">
        <w:rPr>
          <w:rFonts w:asciiTheme="minorHAnsi" w:hAnsiTheme="minorHAnsi"/>
        </w:rPr>
        <w:t xml:space="preserve">to </w:t>
      </w:r>
      <w:r w:rsidR="002343C5">
        <w:rPr>
          <w:rFonts w:asciiTheme="minorHAnsi" w:hAnsiTheme="minorHAnsi"/>
        </w:rPr>
        <w:t xml:space="preserve">show </w:t>
      </w:r>
      <w:r w:rsidR="00A00EAB">
        <w:rPr>
          <w:rFonts w:asciiTheme="minorHAnsi" w:hAnsiTheme="minorHAnsi"/>
        </w:rPr>
        <w:t>why th</w:t>
      </w:r>
      <w:r w:rsidR="002343C5">
        <w:rPr>
          <w:rFonts w:asciiTheme="minorHAnsi" w:hAnsiTheme="minorHAnsi"/>
        </w:rPr>
        <w:t>e</w:t>
      </w:r>
      <w:r w:rsidR="00A00EAB">
        <w:rPr>
          <w:rFonts w:asciiTheme="minorHAnsi" w:hAnsiTheme="minorHAnsi"/>
        </w:rPr>
        <w:t xml:space="preserve"> issue is important to Deborah.</w:t>
      </w:r>
      <w:r w:rsidR="00C6201D">
        <w:rPr>
          <w:rFonts w:asciiTheme="minorHAnsi" w:hAnsiTheme="minorHAnsi"/>
        </w:rPr>
        <w:t xml:space="preserve"> </w:t>
      </w:r>
      <w:r w:rsidR="00C6201D">
        <w:t>This also shows that she feels disconnected from her mother and lacks control to change her situation</w:t>
      </w:r>
      <w:r w:rsidR="00A72F65">
        <w:t xml:space="preserve"> </w:t>
      </w:r>
      <w:r w:rsidR="00A72F65" w:rsidRPr="009B4696">
        <w:rPr>
          <w:rFonts w:asciiTheme="minorHAnsi" w:hAnsiTheme="minorHAnsi"/>
        </w:rPr>
        <w:t>(p. 196)</w:t>
      </w:r>
      <w:r w:rsidR="00C6201D">
        <w:t>.</w:t>
      </w:r>
    </w:p>
    <w:p w:rsidR="00E031D6" w:rsidRPr="00E76335" w:rsidRDefault="00E031D6" w:rsidP="00E031D6">
      <w:pPr>
        <w:pStyle w:val="SASRBullet"/>
      </w:pPr>
      <w:r w:rsidRPr="00DC22A3">
        <w:rPr>
          <w:rFonts w:asciiTheme="minorHAnsi" w:hAnsiTheme="minorHAnsi"/>
        </w:rPr>
        <w:t>Star next to the paragraph that begins “</w:t>
      </w:r>
      <w:r w:rsidR="00DC22A3" w:rsidRPr="00DC22A3">
        <w:rPr>
          <w:rFonts w:asciiTheme="minorHAnsi" w:hAnsiTheme="minorHAnsi"/>
        </w:rPr>
        <w:t>The more Deborah struggled to understand her</w:t>
      </w:r>
      <w:r w:rsidR="00DC22A3">
        <w:rPr>
          <w:rFonts w:asciiTheme="minorHAnsi" w:hAnsiTheme="minorHAnsi"/>
        </w:rPr>
        <w:t xml:space="preserve"> mother’s cells” This section shows that even</w:t>
      </w:r>
      <w:r w:rsidR="002B5FDF">
        <w:rPr>
          <w:rFonts w:asciiTheme="minorHAnsi" w:hAnsiTheme="minorHAnsi"/>
        </w:rPr>
        <w:t xml:space="preserve"> though Deborah is reading the b</w:t>
      </w:r>
      <w:r w:rsidR="00DC22A3">
        <w:rPr>
          <w:rFonts w:asciiTheme="minorHAnsi" w:hAnsiTheme="minorHAnsi"/>
        </w:rPr>
        <w:t xml:space="preserve">iology textbooks, she fundamentally misunderstands how cells work. She believes that her mother can feel pain in each of these cells or will somehow be present spiritually in a genetically </w:t>
      </w:r>
      <w:r w:rsidR="00DC22A3" w:rsidRPr="009B2160">
        <w:rPr>
          <w:rFonts w:asciiTheme="minorHAnsi" w:hAnsiTheme="minorHAnsi"/>
        </w:rPr>
        <w:t>crossed</w:t>
      </w:r>
      <w:r w:rsidR="00DC22A3" w:rsidRPr="00250F91">
        <w:rPr>
          <w:rFonts w:asciiTheme="minorHAnsi" w:hAnsiTheme="minorHAnsi"/>
        </w:rPr>
        <w:t xml:space="preserve"> </w:t>
      </w:r>
      <w:r w:rsidR="00DC22A3">
        <w:rPr>
          <w:rFonts w:asciiTheme="minorHAnsi" w:hAnsiTheme="minorHAnsi"/>
        </w:rPr>
        <w:t xml:space="preserve">species. This </w:t>
      </w:r>
      <w:r w:rsidR="00A00EAB">
        <w:rPr>
          <w:rFonts w:asciiTheme="minorHAnsi" w:hAnsiTheme="minorHAnsi"/>
        </w:rPr>
        <w:t>shows that Deborah is still disconnected from the medical community that has taken charge of her mother’s cells and legacy</w:t>
      </w:r>
      <w:r w:rsidR="00A72F65">
        <w:rPr>
          <w:rFonts w:asciiTheme="minorHAnsi" w:hAnsiTheme="minorHAnsi"/>
        </w:rPr>
        <w:t xml:space="preserve"> </w:t>
      </w:r>
      <w:r w:rsidR="00A72F65" w:rsidRPr="009B4696">
        <w:rPr>
          <w:rFonts w:asciiTheme="minorHAnsi" w:hAnsiTheme="minorHAnsi"/>
        </w:rPr>
        <w:t>(p. 196)</w:t>
      </w:r>
      <w:r w:rsidR="00A00EAB">
        <w:rPr>
          <w:rFonts w:asciiTheme="minorHAnsi" w:hAnsiTheme="minorHAnsi"/>
        </w:rPr>
        <w:t xml:space="preserve">. </w:t>
      </w:r>
    </w:p>
    <w:p w:rsidR="00385832" w:rsidRDefault="008A43D4" w:rsidP="00A105C7">
      <w:pPr>
        <w:pStyle w:val="SASRBullet"/>
      </w:pPr>
      <w:r>
        <w:t xml:space="preserve">Star </w:t>
      </w:r>
      <w:r w:rsidR="00E031D6" w:rsidRPr="00DC22A3">
        <w:t xml:space="preserve">near the </w:t>
      </w:r>
      <w:r w:rsidR="00DC22A3" w:rsidRPr="00DC22A3">
        <w:t>sentence</w:t>
      </w:r>
      <w:r w:rsidR="00E031D6" w:rsidRPr="00DC22A3">
        <w:t xml:space="preserve"> “</w:t>
      </w:r>
      <w:r w:rsidR="00DC22A3" w:rsidRPr="00DC22A3">
        <w:t>But what bothered her most was the fa</w:t>
      </w:r>
      <w:r w:rsidR="00DC22A3">
        <w:t>c</w:t>
      </w:r>
      <w:r w:rsidR="00DC22A3" w:rsidRPr="00DC22A3">
        <w:t>t that so many scientists and journalists around the world continued to call her mother Helen Lane</w:t>
      </w:r>
      <w:r w:rsidR="00F3698A">
        <w:t>.</w:t>
      </w:r>
      <w:r w:rsidR="00DC22A3" w:rsidRPr="00DC22A3">
        <w:t xml:space="preserve">” </w:t>
      </w:r>
      <w:r>
        <w:t>Skloot titled the chapter</w:t>
      </w:r>
      <w:r w:rsidR="00F3698A">
        <w:t>,</w:t>
      </w:r>
      <w:r>
        <w:t xml:space="preserve"> “Least They Can Do,” which indicates that this is an important </w:t>
      </w:r>
      <w:r w:rsidR="00F3698A">
        <w:t>idea</w:t>
      </w:r>
      <w:r>
        <w:t>. Skloot may be reinforcing the idea that Hopkins did not even do the “least” thing, which was to give credit to Henrietta for her remarkable cell</w:t>
      </w:r>
      <w:r w:rsidR="00F3698A">
        <w:t>s</w:t>
      </w:r>
      <w:r w:rsidR="00A72F65">
        <w:t xml:space="preserve"> </w:t>
      </w:r>
      <w:r w:rsidR="00A72F65">
        <w:rPr>
          <w:rFonts w:asciiTheme="minorHAnsi" w:hAnsiTheme="minorHAnsi"/>
        </w:rPr>
        <w:t>(p. 197</w:t>
      </w:r>
      <w:r w:rsidR="00A72F65" w:rsidRPr="009B4696">
        <w:rPr>
          <w:rFonts w:asciiTheme="minorHAnsi" w:hAnsiTheme="minorHAnsi"/>
        </w:rPr>
        <w:t>)</w:t>
      </w:r>
      <w:r w:rsidR="00385832">
        <w:t>.</w:t>
      </w:r>
    </w:p>
    <w:p w:rsidR="00E031D6" w:rsidRPr="00DC22A3" w:rsidRDefault="00E031D6" w:rsidP="00A105C7">
      <w:pPr>
        <w:pStyle w:val="TA"/>
      </w:pPr>
      <w:r w:rsidRPr="00DC22A3">
        <w:t>Circulate around the room to monitor the pair discussion. Listen for students to discuss the above annotation</w:t>
      </w:r>
      <w:r w:rsidR="00DC22A3">
        <w:t xml:space="preserve">. </w:t>
      </w:r>
    </w:p>
    <w:p w:rsidR="00385832" w:rsidRDefault="00385832" w:rsidP="00904CD2">
      <w:pPr>
        <w:pStyle w:val="TA"/>
        <w:rPr>
          <w:rFonts w:asciiTheme="minorHAnsi" w:hAnsiTheme="minorHAnsi"/>
        </w:rPr>
      </w:pPr>
      <w:r>
        <w:rPr>
          <w:rFonts w:asciiTheme="minorHAnsi" w:hAnsiTheme="minorHAnsi"/>
        </w:rPr>
        <w:t>Lead a whole-class discussion of the annotation discussion.</w:t>
      </w:r>
    </w:p>
    <w:p w:rsidR="005A151B" w:rsidRPr="00E81E80" w:rsidRDefault="00E81E80" w:rsidP="00E81E80">
      <w:pPr>
        <w:pStyle w:val="IN"/>
        <w:rPr>
          <w:rFonts w:ascii="Times" w:hAnsi="Times"/>
          <w:sz w:val="20"/>
          <w:szCs w:val="20"/>
        </w:rPr>
      </w:pPr>
      <w:r w:rsidRPr="00E81E80">
        <w:rPr>
          <w:shd w:val="clear" w:color="auto" w:fill="FFFFFF"/>
        </w:rPr>
        <w:lastRenderedPageBreak/>
        <w:t>This focused annotation supports stud</w:t>
      </w:r>
      <w:r w:rsidR="00FD5BD1">
        <w:rPr>
          <w:shd w:val="clear" w:color="auto" w:fill="FFFFFF"/>
        </w:rPr>
        <w:t>ents’ engagement with W.9-10.9.b</w:t>
      </w:r>
      <w:r w:rsidRPr="00E81E80">
        <w:rPr>
          <w:shd w:val="clear" w:color="auto" w:fill="FFFFFF"/>
        </w:rPr>
        <w:t>, which addresses the use of textual evidence in writing.</w:t>
      </w:r>
    </w:p>
    <w:p w:rsidR="000E191A" w:rsidRDefault="000E191A" w:rsidP="000E191A">
      <w:pPr>
        <w:pStyle w:val="BR"/>
      </w:pPr>
    </w:p>
    <w:p w:rsidR="00707670" w:rsidRDefault="00C6201D" w:rsidP="00707670">
      <w:pPr>
        <w:pStyle w:val="TA"/>
      </w:pPr>
      <w:r>
        <w:t xml:space="preserve">Instruct student pairs to read from “On March 25, 1976, when Mike Rogers’ </w:t>
      </w:r>
      <w:r w:rsidRPr="008858C2">
        <w:rPr>
          <w:i/>
        </w:rPr>
        <w:t>R</w:t>
      </w:r>
      <w:r w:rsidRPr="00846065">
        <w:rPr>
          <w:i/>
        </w:rPr>
        <w:t>olling Stone</w:t>
      </w:r>
      <w:r>
        <w:t xml:space="preserve"> article” to “one of the most important tools in medicine. This was big news” (p. 197) and </w:t>
      </w:r>
      <w:r w:rsidR="00A72B7B">
        <w:t>answer the following questions bef</w:t>
      </w:r>
      <w:r w:rsidR="00FD5BD1">
        <w:t>ore sharing out with the class.</w:t>
      </w:r>
      <w:r>
        <w:t xml:space="preserve"> </w:t>
      </w:r>
      <w:r w:rsidR="00385832">
        <w:t>Remind students to annotate the text while engaging in the evidence-based discussion.</w:t>
      </w:r>
    </w:p>
    <w:p w:rsidR="00AC438E" w:rsidRDefault="003903EE" w:rsidP="000E191A">
      <w:pPr>
        <w:pStyle w:val="Q"/>
      </w:pPr>
      <w:r>
        <w:t xml:space="preserve">Why does Henrietta flee north for </w:t>
      </w:r>
      <w:r w:rsidRPr="009B2160">
        <w:t>prosperity</w:t>
      </w:r>
      <w:r>
        <w:t>?</w:t>
      </w:r>
      <w:r w:rsidR="00AC438E">
        <w:t xml:space="preserve"> What clues help you figure out the meaning of </w:t>
      </w:r>
      <w:r w:rsidR="00AC438E" w:rsidRPr="003D77CB">
        <w:rPr>
          <w:i/>
        </w:rPr>
        <w:t>prosperity</w:t>
      </w:r>
      <w:r w:rsidR="00AC438E">
        <w:t xml:space="preserve">? </w:t>
      </w:r>
    </w:p>
    <w:p w:rsidR="00D037D3" w:rsidRDefault="00306FF1" w:rsidP="00FE5D0C">
      <w:pPr>
        <w:pStyle w:val="SR"/>
      </w:pPr>
      <w:r w:rsidRPr="00524E4D">
        <w:t>Henrietta went north to get a better life, so</w:t>
      </w:r>
      <w:r>
        <w:rPr>
          <w:i/>
        </w:rPr>
        <w:t xml:space="preserve"> p</w:t>
      </w:r>
      <w:r w:rsidR="000E191A" w:rsidRPr="003D77CB">
        <w:rPr>
          <w:i/>
        </w:rPr>
        <w:t>rosperity</w:t>
      </w:r>
      <w:r w:rsidR="000E191A">
        <w:t xml:space="preserve"> means “a better life” or “more money or opportunities.” The clues </w:t>
      </w:r>
      <w:r w:rsidR="00B97B94">
        <w:t xml:space="preserve">are that </w:t>
      </w:r>
      <w:r w:rsidR="000E191A">
        <w:t xml:space="preserve">she left a life of “slavery and sharecropping,” so she went north to </w:t>
      </w:r>
      <w:r>
        <w:t xml:space="preserve">leave that </w:t>
      </w:r>
      <w:r w:rsidR="00385832">
        <w:t xml:space="preserve">life </w:t>
      </w:r>
      <w:r>
        <w:t>behind and seek opportunities</w:t>
      </w:r>
      <w:r w:rsidR="000E191A">
        <w:t>.</w:t>
      </w:r>
    </w:p>
    <w:p w:rsidR="00904CD2" w:rsidRDefault="00904CD2" w:rsidP="000E191A">
      <w:pPr>
        <w:pStyle w:val="Q"/>
      </w:pPr>
      <w:r>
        <w:t>Look carefully at th</w:t>
      </w:r>
      <w:r w:rsidR="00201FAD">
        <w:t>e</w:t>
      </w:r>
      <w:r>
        <w:t xml:space="preserve"> sentence </w:t>
      </w:r>
      <w:r w:rsidR="00201FAD">
        <w:t>f</w:t>
      </w:r>
      <w:r w:rsidR="00A72B7B">
        <w:t xml:space="preserve">rom </w:t>
      </w:r>
      <w:r w:rsidR="003700AB">
        <w:t>“</w:t>
      </w:r>
      <w:r>
        <w:t>News of the Tuskegee study was still fresh</w:t>
      </w:r>
      <w:r w:rsidR="00A72B7B">
        <w:t>” to “</w:t>
      </w:r>
      <w:r>
        <w:t xml:space="preserve">impossible to ignore.” What is the effect of using semicolons instead of </w:t>
      </w:r>
      <w:r w:rsidR="005B743A">
        <w:t>simply</w:t>
      </w:r>
      <w:r>
        <w:t xml:space="preserve"> </w:t>
      </w:r>
      <w:r w:rsidR="005B743A">
        <w:t>writing</w:t>
      </w:r>
      <w:r>
        <w:t xml:space="preserve"> three </w:t>
      </w:r>
      <w:r w:rsidR="005B743A">
        <w:t>separate</w:t>
      </w:r>
      <w:r>
        <w:t xml:space="preserve"> sentences?</w:t>
      </w:r>
    </w:p>
    <w:p w:rsidR="00D037D3" w:rsidRDefault="00E01C82" w:rsidP="00FE5D0C">
      <w:pPr>
        <w:pStyle w:val="SR"/>
      </w:pPr>
      <w:r>
        <w:t>The semicolons connect the events (Tuskegee, Black Panthers, and Henrietta’s story) more closely and show how they all happened around</w:t>
      </w:r>
      <w:r w:rsidR="000E191A">
        <w:t xml:space="preserve"> the sa</w:t>
      </w:r>
      <w:r>
        <w:t xml:space="preserve">me time, which </w:t>
      </w:r>
      <w:r w:rsidR="000E191A">
        <w:t>add</w:t>
      </w:r>
      <w:r>
        <w:t>s</w:t>
      </w:r>
      <w:r w:rsidR="000E191A">
        <w:t xml:space="preserve"> to the impact of the racial implications of </w:t>
      </w:r>
      <w:r w:rsidR="00B97B94">
        <w:t>Henrietta’s</w:t>
      </w:r>
      <w:r w:rsidR="000E191A">
        <w:t xml:space="preserve"> story.</w:t>
      </w:r>
      <w:r>
        <w:t xml:space="preserve"> </w:t>
      </w:r>
    </w:p>
    <w:p w:rsidR="003903EE" w:rsidRDefault="0008546F" w:rsidP="0008546F">
      <w:pPr>
        <w:pStyle w:val="IN"/>
      </w:pPr>
      <w:r>
        <w:t>Remind students of their work with semicolons in Module 10.</w:t>
      </w:r>
      <w:r w:rsidR="00A72B7B">
        <w:t>3.</w:t>
      </w:r>
      <w:r>
        <w:t xml:space="preserve">1 in relation to standard L.9-10.2.a. Instruct students to </w:t>
      </w:r>
      <w:r w:rsidR="0010203C">
        <w:t xml:space="preserve">use a highlighter to mark </w:t>
      </w:r>
      <w:r>
        <w:t>semicolons</w:t>
      </w:r>
      <w:r w:rsidR="0010203C">
        <w:t xml:space="preserve"> in the text. Explain </w:t>
      </w:r>
      <w:r>
        <w:t xml:space="preserve">that a semicolon is used </w:t>
      </w:r>
      <w:r w:rsidR="0010203C">
        <w:t xml:space="preserve">to connect independent </w:t>
      </w:r>
      <w:r>
        <w:t>but related ideas in a sentence,</w:t>
      </w:r>
      <w:r w:rsidR="0010203C">
        <w:t xml:space="preserve"> and how it</w:t>
      </w:r>
      <w:r w:rsidR="00B97B94">
        <w:t>s</w:t>
      </w:r>
      <w:r w:rsidR="0010203C">
        <w:t xml:space="preserve"> use is different from that of a colon.</w:t>
      </w:r>
      <w:r w:rsidR="007A36DD">
        <w:t xml:space="preserve"> </w:t>
      </w:r>
    </w:p>
    <w:p w:rsidR="0010203C" w:rsidRDefault="003903EE" w:rsidP="003D77CB">
      <w:pPr>
        <w:pStyle w:val="IN"/>
      </w:pPr>
      <w:r>
        <w:t xml:space="preserve">Remind students </w:t>
      </w:r>
      <w:r w:rsidR="005F2889">
        <w:t>of their work with</w:t>
      </w:r>
      <w:r>
        <w:t xml:space="preserve"> the Tuskegee syphilis study in </w:t>
      </w:r>
      <w:r w:rsidR="007A36DD">
        <w:t xml:space="preserve">10.3.1 </w:t>
      </w:r>
      <w:r>
        <w:t xml:space="preserve">Lesson 4. </w:t>
      </w:r>
    </w:p>
    <w:p w:rsidR="002F6684" w:rsidRPr="00215D56" w:rsidRDefault="002F6684" w:rsidP="006E20AC">
      <w:pPr>
        <w:pStyle w:val="Q"/>
      </w:pPr>
      <w:r w:rsidRPr="00215D56">
        <w:t xml:space="preserve">What </w:t>
      </w:r>
      <w:r w:rsidR="00215D56" w:rsidRPr="00215D56">
        <w:t xml:space="preserve">structural choices does Skloot </w:t>
      </w:r>
      <w:r w:rsidR="005B2491">
        <w:t xml:space="preserve">make </w:t>
      </w:r>
      <w:r w:rsidR="00215D56" w:rsidRPr="00215D56">
        <w:t>to show that Henrietta’s story was “big news”?</w:t>
      </w:r>
    </w:p>
    <w:p w:rsidR="0008546F" w:rsidRDefault="0008546F" w:rsidP="008858C2">
      <w:pPr>
        <w:pStyle w:val="SR"/>
      </w:pPr>
      <w:r>
        <w:t xml:space="preserve">Student responses may include: </w:t>
      </w:r>
    </w:p>
    <w:p w:rsidR="00AC438E" w:rsidRDefault="00215D56" w:rsidP="0008546F">
      <w:pPr>
        <w:pStyle w:val="SASRBullet"/>
      </w:pPr>
      <w:r>
        <w:t xml:space="preserve">Skloot uses </w:t>
      </w:r>
      <w:r w:rsidR="000E191A">
        <w:t>repetition of</w:t>
      </w:r>
      <w:r w:rsidR="00F5295B">
        <w:t xml:space="preserve"> the words</w:t>
      </w:r>
      <w:r w:rsidR="000E191A">
        <w:t xml:space="preserve"> </w:t>
      </w:r>
      <w:r w:rsidR="000E191A" w:rsidRPr="009B2160">
        <w:rPr>
          <w:i/>
        </w:rPr>
        <w:t>white</w:t>
      </w:r>
      <w:r w:rsidR="000E191A">
        <w:t xml:space="preserve"> and </w:t>
      </w:r>
      <w:r w:rsidR="000E191A" w:rsidRPr="009B2160">
        <w:rPr>
          <w:i/>
        </w:rPr>
        <w:t>black</w:t>
      </w:r>
      <w:r w:rsidR="000E191A">
        <w:t xml:space="preserve"> </w:t>
      </w:r>
      <w:r>
        <w:t xml:space="preserve">to </w:t>
      </w:r>
      <w:r w:rsidR="00F5295B">
        <w:t>r</w:t>
      </w:r>
      <w:r>
        <w:t>einforce the racial tensions of the time</w:t>
      </w:r>
      <w:r w:rsidR="00363C07">
        <w:t xml:space="preserve"> period</w:t>
      </w:r>
      <w:r>
        <w:t xml:space="preserve"> as a reason for why Henrietta’s story was popular.</w:t>
      </w:r>
    </w:p>
    <w:p w:rsidR="00215D56" w:rsidRDefault="00C6227F" w:rsidP="0008546F">
      <w:pPr>
        <w:pStyle w:val="SASRBullet"/>
      </w:pPr>
      <w:r>
        <w:rPr>
          <w:rStyle w:val="SRChar"/>
          <w:rFonts w:eastAsia="Calibri"/>
        </w:rPr>
        <w:t>S</w:t>
      </w:r>
      <w:r w:rsidR="00215D56">
        <w:t xml:space="preserve">kloot uses provocative </w:t>
      </w:r>
      <w:r w:rsidR="00117F7A">
        <w:t>words</w:t>
      </w:r>
      <w:r w:rsidR="00215D56">
        <w:t xml:space="preserve"> to show the story’s popularity with the public including: </w:t>
      </w:r>
      <w:r w:rsidR="00215D56" w:rsidRPr="009B2160">
        <w:rPr>
          <w:i/>
        </w:rPr>
        <w:t>True story, mainstream media, explosive, protesting, racist, impossible, ignore, contaminating, one drop, black blood, uncredited</w:t>
      </w:r>
      <w:r w:rsidR="00215D56" w:rsidRPr="00215D56">
        <w:t xml:space="preserve">. </w:t>
      </w:r>
      <w:r w:rsidR="00215D56">
        <w:t>Skloot</w:t>
      </w:r>
      <w:r w:rsidR="005B2491">
        <w:t xml:space="preserve"> uses this language to</w:t>
      </w:r>
      <w:r w:rsidR="00215D56">
        <w:t xml:space="preserve"> illustrate the extreme racial tensions </w:t>
      </w:r>
      <w:r w:rsidR="00363C07">
        <w:t>of</w:t>
      </w:r>
      <w:r w:rsidR="00215D56">
        <w:t xml:space="preserve"> the time and how the time period fuel</w:t>
      </w:r>
      <w:r w:rsidR="005B2491">
        <w:t>s</w:t>
      </w:r>
      <w:r w:rsidR="00215D56">
        <w:t xml:space="preserve"> the impact of the journal article.</w:t>
      </w:r>
    </w:p>
    <w:p w:rsidR="001B3063" w:rsidRDefault="00033D85" w:rsidP="0008546F">
      <w:pPr>
        <w:pStyle w:val="SASRBullet"/>
      </w:pPr>
      <w:r w:rsidRPr="001B3063">
        <w:t>Skloot also juxtaposes the racial issues of the past and present to reveal the story’s popularity</w:t>
      </w:r>
      <w:r w:rsidR="001B3063">
        <w:t xml:space="preserve">: </w:t>
      </w:r>
      <w:r w:rsidRPr="001B3063">
        <w:t xml:space="preserve">“It was a story of white selling black, of black cultures </w:t>
      </w:r>
      <w:r w:rsidR="001B3063">
        <w:t>‘</w:t>
      </w:r>
      <w:r w:rsidRPr="001B3063">
        <w:t>contaminating</w:t>
      </w:r>
      <w:r w:rsidR="001B3063">
        <w:t>’</w:t>
      </w:r>
      <w:r w:rsidRPr="001B3063">
        <w:t xml:space="preserve"> white </w:t>
      </w:r>
      <w:r w:rsidRPr="001B3063">
        <w:lastRenderedPageBreak/>
        <w:t xml:space="preserve">ones with a single cell in an era when a person with </w:t>
      </w:r>
      <w:r w:rsidR="001B3063">
        <w:t>‘</w:t>
      </w:r>
      <w:r w:rsidRPr="001B3063">
        <w:t>one drop</w:t>
      </w:r>
      <w:r w:rsidR="001B3063">
        <w:t>’</w:t>
      </w:r>
      <w:r w:rsidRPr="001B3063">
        <w:t xml:space="preserve"> of black blood had only recently gained the legal right to marry a white person</w:t>
      </w:r>
      <w:r w:rsidR="001B3063">
        <w:t>” (p. 197)</w:t>
      </w:r>
      <w:r w:rsidR="00A72F65">
        <w:t>.</w:t>
      </w:r>
    </w:p>
    <w:p w:rsidR="00760D2C" w:rsidRPr="001B3063" w:rsidRDefault="00760D2C" w:rsidP="00A105C7">
      <w:pPr>
        <w:pStyle w:val="IN"/>
      </w:pPr>
      <w:r>
        <w:t xml:space="preserve">Explain to students that </w:t>
      </w:r>
      <w:r w:rsidRPr="009B2160">
        <w:rPr>
          <w:i/>
        </w:rPr>
        <w:t>mainstream media</w:t>
      </w:r>
      <w:r>
        <w:t xml:space="preserve"> is a collective term for the largest and most popular news programs and newspapers. </w:t>
      </w:r>
    </w:p>
    <w:p w:rsidR="00306FF1" w:rsidRDefault="00306FF1" w:rsidP="00A105C7">
      <w:pPr>
        <w:pStyle w:val="TA"/>
      </w:pPr>
      <w:r w:rsidRPr="00712773">
        <w:t>Lead a brief whole-class discussion of student responses.</w:t>
      </w:r>
    </w:p>
    <w:p w:rsidR="00363C07" w:rsidRDefault="00363C07" w:rsidP="00A105C7">
      <w:pPr>
        <w:pStyle w:val="BR"/>
      </w:pPr>
    </w:p>
    <w:p w:rsidR="00AC438E" w:rsidRDefault="00EE75BF" w:rsidP="008858C2">
      <w:pPr>
        <w:pStyle w:val="TA"/>
      </w:pPr>
      <w:r>
        <w:t>Instruct student pairs to r</w:t>
      </w:r>
      <w:r w:rsidR="0008546F">
        <w:t>ead</w:t>
      </w:r>
      <w:r w:rsidR="00AC438E">
        <w:t xml:space="preserve"> from “Rogers’s article caught the attention</w:t>
      </w:r>
      <w:r w:rsidR="00B844D6">
        <w:t xml:space="preserve"> of several other journalists</w:t>
      </w:r>
      <w:r w:rsidR="00AC438E">
        <w:t>” to “no such federal oversight at the time” (pp.</w:t>
      </w:r>
      <w:r w:rsidR="00C6227F">
        <w:t xml:space="preserve"> </w:t>
      </w:r>
      <w:r w:rsidR="00861E61">
        <w:t>197–</w:t>
      </w:r>
      <w:r w:rsidR="00AC438E">
        <w:t>198)</w:t>
      </w:r>
      <w:r w:rsidR="00575D2C">
        <w:t xml:space="preserve"> and </w:t>
      </w:r>
      <w:r w:rsidR="00A16E6F">
        <w:t>answer the following question bef</w:t>
      </w:r>
      <w:r w:rsidR="00FD5BD1">
        <w:t>ore sharing out with the class.</w:t>
      </w:r>
      <w:r w:rsidR="00575D2C">
        <w:t xml:space="preserve"> </w:t>
      </w:r>
      <w:r w:rsidR="00760D2C">
        <w:t>Remind students to annotate the text while engaging in the evidence-based discussion.</w:t>
      </w:r>
    </w:p>
    <w:p w:rsidR="00CD3C3F" w:rsidRDefault="00CD3C3F" w:rsidP="00846065">
      <w:pPr>
        <w:pStyle w:val="Q"/>
      </w:pPr>
      <w:r>
        <w:t xml:space="preserve">What information is being shared with the public about the Lacks family? What is the impact of this shared information? </w:t>
      </w:r>
    </w:p>
    <w:p w:rsidR="00C6201D" w:rsidRDefault="00F5295B" w:rsidP="00C6201D">
      <w:pPr>
        <w:pStyle w:val="SR"/>
      </w:pPr>
      <w:r>
        <w:t>There are two types of media described here. Newspapers and magazines “published articles about Henrietta, ‘one of the pivotal figures in the crusade against cancer.’</w:t>
      </w:r>
      <w:r w:rsidR="006257B4">
        <w:t>”</w:t>
      </w:r>
      <w:r>
        <w:t xml:space="preserve"> The idea is that Henrietta Lacks and her family were finally getting credit for the cells. However, </w:t>
      </w:r>
      <w:proofErr w:type="spellStart"/>
      <w:r>
        <w:t>McKusick</w:t>
      </w:r>
      <w:proofErr w:type="spellEnd"/>
      <w:r>
        <w:t xml:space="preserve"> also published a map of “forty-three different genetic markers present in DNA from Day and two of</w:t>
      </w:r>
      <w:r w:rsidR="005C1095">
        <w:t xml:space="preserve"> the Lacks children,</w:t>
      </w:r>
      <w:r>
        <w:t>”</w:t>
      </w:r>
      <w:r w:rsidR="005C1095">
        <w:t xml:space="preserve"> (p.</w:t>
      </w:r>
      <w:r w:rsidR="00861E61">
        <w:t xml:space="preserve"> </w:t>
      </w:r>
      <w:r w:rsidR="005C1095">
        <w:t>197) which, it is explained, is a violation of the Lacks family’s privacy.</w:t>
      </w:r>
    </w:p>
    <w:p w:rsidR="00760D2C" w:rsidRDefault="00C6201D" w:rsidP="00760D2C">
      <w:pPr>
        <w:pStyle w:val="TA"/>
      </w:pPr>
      <w:r w:rsidRPr="006251E6">
        <w:t>Lead a brief whole-class discussion of student responses.</w:t>
      </w:r>
    </w:p>
    <w:p w:rsidR="00707670" w:rsidRDefault="00707670" w:rsidP="00707670">
      <w:pPr>
        <w:pStyle w:val="LearningSequenceHeader"/>
      </w:pPr>
      <w:r>
        <w:t>Activity 4</w:t>
      </w:r>
      <w:r w:rsidRPr="00707670">
        <w:t xml:space="preserve">: </w:t>
      </w:r>
      <w:r w:rsidR="001F1DFA">
        <w:t>Quick Write</w:t>
      </w:r>
      <w:r w:rsidRPr="00707670">
        <w:tab/>
      </w:r>
      <w:r w:rsidR="006F5856">
        <w:t>15</w:t>
      </w:r>
      <w:r w:rsidRPr="00707670">
        <w:t>%</w:t>
      </w:r>
    </w:p>
    <w:p w:rsidR="009470AA" w:rsidRPr="009470AA" w:rsidRDefault="009470AA" w:rsidP="009470AA">
      <w:pPr>
        <w:pStyle w:val="TA"/>
      </w:pPr>
      <w:r w:rsidRPr="009470AA">
        <w:t>Instruct students to respond briefly in writing to the following prompt:</w:t>
      </w:r>
    </w:p>
    <w:p w:rsidR="006257B4" w:rsidRPr="00527F3B" w:rsidRDefault="006257B4" w:rsidP="008858C2">
      <w:pPr>
        <w:pStyle w:val="Q"/>
      </w:pPr>
      <w:r w:rsidRPr="00306FF1">
        <w:t xml:space="preserve">How does the </w:t>
      </w:r>
      <w:r w:rsidR="00353947" w:rsidRPr="00E26C7A">
        <w:t xml:space="preserve">section </w:t>
      </w:r>
      <w:r w:rsidRPr="006251E6">
        <w:t xml:space="preserve">on page 197 from “On March 25, 1976, when Mike Rogers’s </w:t>
      </w:r>
      <w:r w:rsidRPr="006251E6">
        <w:rPr>
          <w:i/>
        </w:rPr>
        <w:t>Rolling Stone</w:t>
      </w:r>
      <w:r w:rsidRPr="006251E6">
        <w:t xml:space="preserve"> article” to “</w:t>
      </w:r>
      <w:r w:rsidR="00353947" w:rsidRPr="00A105C7">
        <w:t>of Henrietta’s DNA that scientists could use to help identify HeLa cells in culture</w:t>
      </w:r>
      <w:r w:rsidRPr="00E26C7A">
        <w:t>”</w:t>
      </w:r>
      <w:r w:rsidRPr="006251E6">
        <w:t xml:space="preserve"> develop and refine Skloot’s ideas in this excerpt?</w:t>
      </w:r>
    </w:p>
    <w:p w:rsidR="002A47AD" w:rsidRDefault="002A47AD" w:rsidP="00A105C7">
      <w:pPr>
        <w:pStyle w:val="TA"/>
      </w:pPr>
      <w:r w:rsidRPr="00A105C7">
        <w:t xml:space="preserve">Instruct students to look at their annotations to find evidence. </w:t>
      </w:r>
      <w:r w:rsidRPr="00A105C7">
        <w:rPr>
          <w:bCs/>
        </w:rPr>
        <w:t xml:space="preserve">Ask students to use this lesson’s vocabulary wherever possible in their written responses. </w:t>
      </w:r>
      <w:r w:rsidRPr="00A105C7">
        <w:t xml:space="preserve">Remind students to use the Short Response </w:t>
      </w:r>
      <w:r w:rsidR="00861E61" w:rsidRPr="00A105C7">
        <w:t xml:space="preserve">Rubric </w:t>
      </w:r>
      <w:r w:rsidR="00861E61">
        <w:t xml:space="preserve">and </w:t>
      </w:r>
      <w:r w:rsidRPr="00A105C7">
        <w:t xml:space="preserve">Checklist to guide their written responses. </w:t>
      </w:r>
    </w:p>
    <w:p w:rsidR="00AD75BA" w:rsidRPr="00AD75BA" w:rsidRDefault="00AD75BA" w:rsidP="00AD75BA">
      <w:pPr>
        <w:pStyle w:val="SA"/>
      </w:pPr>
      <w:r w:rsidRPr="00AD75BA">
        <w:t>Students listen and read the Quick Write prompt.</w:t>
      </w:r>
    </w:p>
    <w:p w:rsidR="009470AA" w:rsidRDefault="009470AA" w:rsidP="009470AA">
      <w:pPr>
        <w:pStyle w:val="IN"/>
      </w:pPr>
      <w:r>
        <w:t>Display the prompt for students to see, or provide the prompt in hard copy.</w:t>
      </w:r>
    </w:p>
    <w:p w:rsidR="00AD75BA" w:rsidRPr="00AD75BA" w:rsidRDefault="00AD75BA" w:rsidP="00AD75BA">
      <w:pPr>
        <w:pStyle w:val="TA"/>
      </w:pPr>
      <w:r w:rsidRPr="00AD75BA">
        <w:t>Transition to the independent Quick Write.</w:t>
      </w:r>
    </w:p>
    <w:p w:rsidR="009470AA" w:rsidRDefault="009470AA" w:rsidP="009470AA">
      <w:pPr>
        <w:pStyle w:val="SA"/>
      </w:pPr>
      <w:r>
        <w:lastRenderedPageBreak/>
        <w:t>Students independently answer the prompt using evidence from the text.</w:t>
      </w:r>
    </w:p>
    <w:p w:rsidR="00707670" w:rsidRDefault="009470AA" w:rsidP="009470AA">
      <w:pPr>
        <w:pStyle w:val="SR"/>
      </w:pPr>
      <w:r>
        <w:t>See the High Performance Response at the beginning of this lesson.</w:t>
      </w:r>
    </w:p>
    <w:p w:rsidR="0012119C" w:rsidRPr="00563CB8" w:rsidRDefault="006F5856" w:rsidP="0012119C">
      <w:pPr>
        <w:pStyle w:val="LearningSequenceHeader"/>
      </w:pPr>
      <w:r>
        <w:t>Activity 5</w:t>
      </w:r>
      <w:r w:rsidR="0012119C" w:rsidRPr="00563CB8">
        <w:t xml:space="preserve">: </w:t>
      </w:r>
      <w:r w:rsidR="0012119C">
        <w:t>Vocabulary Journal Introduction</w:t>
      </w:r>
      <w:r w:rsidR="0012119C" w:rsidRPr="00563CB8">
        <w:tab/>
      </w:r>
      <w:r w:rsidR="00D93CFD">
        <w:t>2</w:t>
      </w:r>
      <w:r w:rsidR="0012119C">
        <w:t>5</w:t>
      </w:r>
      <w:r w:rsidR="0012119C" w:rsidRPr="00563CB8">
        <w:t>%</w:t>
      </w:r>
    </w:p>
    <w:p w:rsidR="0012119C" w:rsidRDefault="0012119C" w:rsidP="0012119C">
      <w:pPr>
        <w:pStyle w:val="TA"/>
      </w:pPr>
      <w:r w:rsidRPr="00E02A8D">
        <w:t>Share with students that th</w:t>
      </w:r>
      <w:r w:rsidR="00A159E1">
        <w:t>e</w:t>
      </w:r>
      <w:r w:rsidRPr="00E02A8D">
        <w:t xml:space="preserve"> research process exposes them to new vocabulary through the reading of a wide variety of academic texts. Instruct students to keep track of vocabulary learned by us</w:t>
      </w:r>
      <w:r w:rsidR="00FF456A">
        <w:t>ing a vocabulary j</w:t>
      </w:r>
      <w:r w:rsidRPr="00E02A8D">
        <w:t xml:space="preserve">ournal. </w:t>
      </w:r>
      <w:r w:rsidR="00A16E6F">
        <w:t>Ask s</w:t>
      </w:r>
      <w:r w:rsidRPr="00E02A8D">
        <w:t xml:space="preserve">tudents </w:t>
      </w:r>
      <w:r w:rsidR="00A16E6F">
        <w:t>to</w:t>
      </w:r>
      <w:r w:rsidR="00FF456A">
        <w:t xml:space="preserve"> use the v</w:t>
      </w:r>
      <w:r w:rsidRPr="00E02A8D">
        <w:t xml:space="preserve">ocabulary </w:t>
      </w:r>
      <w:r w:rsidR="00FF456A">
        <w:t>j</w:t>
      </w:r>
      <w:r w:rsidRPr="00E02A8D">
        <w:t>ournal to record their reflections on the strategies employed to learn the vocabulary.</w:t>
      </w:r>
    </w:p>
    <w:p w:rsidR="0012119C" w:rsidRDefault="0012119C" w:rsidP="0012119C">
      <w:pPr>
        <w:pStyle w:val="SA"/>
      </w:pPr>
      <w:r>
        <w:t>Students listen.</w:t>
      </w:r>
    </w:p>
    <w:p w:rsidR="0012119C" w:rsidRDefault="0012119C" w:rsidP="0012119C">
      <w:pPr>
        <w:pStyle w:val="IN"/>
      </w:pPr>
      <w:r>
        <w:t>Because the following lessons in this module are designed to support students’ research, t</w:t>
      </w:r>
      <w:r w:rsidR="00FF456A">
        <w:t>he vocabulary j</w:t>
      </w:r>
      <w:r>
        <w:t>ournal ensure</w:t>
      </w:r>
      <w:r w:rsidR="00117F7A">
        <w:t>s</w:t>
      </w:r>
      <w:r>
        <w:t xml:space="preserve"> the application of vocabulary strategies modeled thus far.</w:t>
      </w:r>
    </w:p>
    <w:p w:rsidR="0012119C" w:rsidRDefault="0012119C" w:rsidP="0012119C">
      <w:pPr>
        <w:pStyle w:val="TA"/>
      </w:pPr>
      <w:r>
        <w:t>Explain to students that the vocabulary they track in the</w:t>
      </w:r>
      <w:r w:rsidR="00066B17">
        <w:t>ir</w:t>
      </w:r>
      <w:r w:rsidR="00FF456A">
        <w:t xml:space="preserve"> v</w:t>
      </w:r>
      <w:r>
        <w:t xml:space="preserve">ocabulary </w:t>
      </w:r>
      <w:r w:rsidR="00FF456A">
        <w:t>j</w:t>
      </w:r>
      <w:r>
        <w:t>ournal</w:t>
      </w:r>
      <w:r w:rsidR="00250F91">
        <w:t xml:space="preserve"> </w:t>
      </w:r>
      <w:r w:rsidR="00117F7A">
        <w:t>features</w:t>
      </w:r>
      <w:r w:rsidR="00250F91">
        <w:t xml:space="preserve"> </w:t>
      </w:r>
      <w:r>
        <w:t xml:space="preserve">words they come across in their searches that are proving to be an obstacle to understanding the text. Additionally, the words should fit into one of two categories. One category is words that are found across multiple texts, in a variety of classes; these are words that might appear in all of their content classes like science, math, English, and social studies. Examples are words like </w:t>
      </w:r>
      <w:r w:rsidR="00575D2C">
        <w:rPr>
          <w:i/>
        </w:rPr>
        <w:t>consent</w:t>
      </w:r>
      <w:r>
        <w:t xml:space="preserve">, </w:t>
      </w:r>
      <w:r w:rsidRPr="00533B48">
        <w:rPr>
          <w:i/>
        </w:rPr>
        <w:t>relevant</w:t>
      </w:r>
      <w:r>
        <w:t xml:space="preserve">, and </w:t>
      </w:r>
      <w:r w:rsidRPr="00533B48">
        <w:rPr>
          <w:i/>
        </w:rPr>
        <w:t>assess</w:t>
      </w:r>
      <w:r>
        <w:t xml:space="preserve">. The second category of words is vocabulary that is specific to one content area or class. These are words like </w:t>
      </w:r>
      <w:r>
        <w:rPr>
          <w:i/>
        </w:rPr>
        <w:t>HLA markers</w:t>
      </w:r>
      <w:r>
        <w:t xml:space="preserve">, </w:t>
      </w:r>
      <w:r>
        <w:rPr>
          <w:i/>
        </w:rPr>
        <w:t>somatic</w:t>
      </w:r>
      <w:r>
        <w:t xml:space="preserve">, and </w:t>
      </w:r>
      <w:r w:rsidRPr="00533B48">
        <w:rPr>
          <w:i/>
        </w:rPr>
        <w:t>genome</w:t>
      </w:r>
      <w:r>
        <w:t xml:space="preserve">. Ask students to record </w:t>
      </w:r>
      <w:r w:rsidR="00FF456A">
        <w:t>in their vocabulary j</w:t>
      </w:r>
      <w:r w:rsidR="0008546F">
        <w:t>ournal</w:t>
      </w:r>
      <w:r w:rsidR="00250F91">
        <w:t xml:space="preserve"> </w:t>
      </w:r>
      <w:r>
        <w:t xml:space="preserve">any </w:t>
      </w:r>
      <w:r w:rsidR="0008546F">
        <w:t xml:space="preserve">difficult </w:t>
      </w:r>
      <w:r>
        <w:t xml:space="preserve">words </w:t>
      </w:r>
      <w:r w:rsidR="0008546F">
        <w:t>that may fit</w:t>
      </w:r>
      <w:r>
        <w:t xml:space="preserve"> </w:t>
      </w:r>
      <w:r w:rsidR="0008546F">
        <w:t>into one of the categories above.</w:t>
      </w:r>
    </w:p>
    <w:p w:rsidR="0012119C" w:rsidRDefault="0012119C" w:rsidP="0012119C">
      <w:pPr>
        <w:pStyle w:val="IN"/>
      </w:pPr>
      <w:r>
        <w:t>Share with students the purpose of differentiating between these words</w:t>
      </w:r>
      <w:r w:rsidR="0008546F">
        <w:t>:</w:t>
      </w:r>
      <w:r>
        <w:t xml:space="preserve"> one type of words are those they are likely to encounter often with texts as they proceed with the remainder of high schoo</w:t>
      </w:r>
      <w:r w:rsidR="0008546F">
        <w:t>l, college, and their civic lives</w:t>
      </w:r>
      <w:r>
        <w:t xml:space="preserve">; the other </w:t>
      </w:r>
      <w:r w:rsidR="0008546F">
        <w:t xml:space="preserve">type </w:t>
      </w:r>
      <w:r>
        <w:t xml:space="preserve">are words that may be specific to the domain of their research. For example, </w:t>
      </w:r>
      <w:r w:rsidR="00575D2C" w:rsidRPr="00846065">
        <w:rPr>
          <w:i/>
        </w:rPr>
        <w:t>quantify</w:t>
      </w:r>
      <w:r>
        <w:t xml:space="preserve">, </w:t>
      </w:r>
      <w:r w:rsidR="00575D2C" w:rsidRPr="00846065">
        <w:rPr>
          <w:i/>
        </w:rPr>
        <w:t>culture</w:t>
      </w:r>
      <w:r>
        <w:t xml:space="preserve">, and </w:t>
      </w:r>
      <w:r w:rsidR="00575D2C">
        <w:rPr>
          <w:i/>
        </w:rPr>
        <w:t>revenue</w:t>
      </w:r>
      <w:r w:rsidR="00575D2C">
        <w:t xml:space="preserve"> </w:t>
      </w:r>
      <w:r>
        <w:t xml:space="preserve">are words that they may see in their arts, science, and social studies texts; </w:t>
      </w:r>
      <w:r w:rsidR="00575D2C" w:rsidRPr="00846065">
        <w:rPr>
          <w:i/>
        </w:rPr>
        <w:t>lead abatement</w:t>
      </w:r>
      <w:r>
        <w:t xml:space="preserve">, </w:t>
      </w:r>
      <w:r w:rsidR="00575D2C" w:rsidRPr="00846065">
        <w:rPr>
          <w:i/>
        </w:rPr>
        <w:t>pharmaceutical</w:t>
      </w:r>
      <w:r>
        <w:t xml:space="preserve">, and </w:t>
      </w:r>
      <w:r w:rsidR="00575D2C" w:rsidRPr="00846065">
        <w:rPr>
          <w:i/>
        </w:rPr>
        <w:t>serum</w:t>
      </w:r>
      <w:r w:rsidR="00575D2C">
        <w:t xml:space="preserve"> </w:t>
      </w:r>
      <w:r>
        <w:t>are words they may encounter in a science article that would be a potential source related to their area of investigation.</w:t>
      </w:r>
    </w:p>
    <w:p w:rsidR="0012119C" w:rsidRDefault="0012119C" w:rsidP="0012119C">
      <w:pPr>
        <w:pStyle w:val="SA"/>
      </w:pPr>
      <w:r>
        <w:t>Students listen.</w:t>
      </w:r>
    </w:p>
    <w:p w:rsidR="0012119C" w:rsidRDefault="0012119C" w:rsidP="0012119C">
      <w:pPr>
        <w:pStyle w:val="IN"/>
      </w:pPr>
      <w:r>
        <w:t>Remind students that the volume of unknown words should not prove such an obstacle that the text is largely inaccessible. The Potential Sources Tool</w:t>
      </w:r>
      <w:r w:rsidR="00BE60A7">
        <w:t xml:space="preserve"> (refer to 10.3.2 Lesson 3)</w:t>
      </w:r>
      <w:r>
        <w:t xml:space="preserve"> should vet for this type of issue.</w:t>
      </w:r>
    </w:p>
    <w:p w:rsidR="0012119C" w:rsidRDefault="0012119C" w:rsidP="0012119C">
      <w:pPr>
        <w:pStyle w:val="TA"/>
      </w:pPr>
      <w:r>
        <w:t>Share with students the following strategies that can be employed to determine the meaning of unknown words or phrases:</w:t>
      </w:r>
    </w:p>
    <w:p w:rsidR="0012119C" w:rsidRDefault="0012119C" w:rsidP="009B2160">
      <w:pPr>
        <w:pStyle w:val="BulletedList"/>
      </w:pPr>
      <w:r>
        <w:t>Use context (e.g., the overall meaning of a sentence, paragraph, or text; a word’s position or function in a sentence) as a clue to the meaning of a word or phrase.</w:t>
      </w:r>
    </w:p>
    <w:p w:rsidR="0012119C" w:rsidRDefault="0012119C" w:rsidP="009B2160">
      <w:pPr>
        <w:pStyle w:val="BulletedList"/>
      </w:pPr>
      <w:r>
        <w:lastRenderedPageBreak/>
        <w:t>Identify and correctly use patterns of word changes that indicate different meanings or parts of speech (e.g., analyze, analysis, analytical). How do changes in prefixes and suffixes affect word meaning?</w:t>
      </w:r>
    </w:p>
    <w:p w:rsidR="0012119C" w:rsidRDefault="0012119C" w:rsidP="009B2160">
      <w:pPr>
        <w:pStyle w:val="BulletedList"/>
      </w:pPr>
      <w:r>
        <w:t xml:space="preserve">Consult general and specialized reference materials (e.g., dictionaries, glossaries, thesauruses) to find the pronunciation of a word or determine or clarify its precise meaning, </w:t>
      </w:r>
      <w:proofErr w:type="spellStart"/>
      <w:r>
        <w:t>its</w:t>
      </w:r>
      <w:proofErr w:type="spellEnd"/>
      <w:r>
        <w:t xml:space="preserve"> part of speech, or its etymology.</w:t>
      </w:r>
    </w:p>
    <w:p w:rsidR="00277530" w:rsidRDefault="00277530" w:rsidP="009B2160">
      <w:pPr>
        <w:pStyle w:val="BulletedList"/>
      </w:pPr>
      <w:r>
        <w:t>Verify the meaning of the word or phrase (by checking the inferred meaning in context or in a dictionary).</w:t>
      </w:r>
    </w:p>
    <w:p w:rsidR="0012119C" w:rsidRDefault="0012119C" w:rsidP="0012119C">
      <w:pPr>
        <w:pStyle w:val="TA"/>
      </w:pPr>
      <w:r>
        <w:t xml:space="preserve">Inform students that etymology can be an important part of learning vocabulary. </w:t>
      </w:r>
      <w:r w:rsidRPr="009B2160">
        <w:rPr>
          <w:i/>
        </w:rPr>
        <w:t>Etymology</w:t>
      </w:r>
      <w:r>
        <w:t xml:space="preserve"> is the study of the origin of words and the way in which their meanings have changed throughout history.</w:t>
      </w:r>
    </w:p>
    <w:p w:rsidR="0012119C" w:rsidRDefault="0012119C" w:rsidP="0012119C">
      <w:pPr>
        <w:pStyle w:val="SA"/>
      </w:pPr>
      <w:r>
        <w:t>Students listen.</w:t>
      </w:r>
    </w:p>
    <w:p w:rsidR="0012119C" w:rsidRDefault="0012119C" w:rsidP="0012119C">
      <w:pPr>
        <w:pStyle w:val="IN"/>
      </w:pPr>
      <w:r>
        <w:t>Consider displaying the strategies for students to see.</w:t>
      </w:r>
    </w:p>
    <w:p w:rsidR="0012119C" w:rsidRDefault="0012119C" w:rsidP="0012119C">
      <w:pPr>
        <w:pStyle w:val="IN"/>
      </w:pPr>
      <w:r>
        <w:t>Consider reviewing how to use reference materials (dictionaries, glossaries, thesauruses) to determine word meaning if students need more support.</w:t>
      </w:r>
    </w:p>
    <w:p w:rsidR="0012119C" w:rsidRDefault="0012119C" w:rsidP="0012119C">
      <w:pPr>
        <w:pStyle w:val="IN"/>
      </w:pPr>
      <w:r>
        <w:t>These strategies come directly from standard</w:t>
      </w:r>
      <w:r w:rsidR="00277530">
        <w:t>s</w:t>
      </w:r>
      <w:r>
        <w:t xml:space="preserve"> L.9-10.4</w:t>
      </w:r>
      <w:r w:rsidR="00FE5D0C">
        <w:t>a</w:t>
      </w:r>
      <w:r w:rsidR="00F8724C">
        <w:t>-</w:t>
      </w:r>
      <w:r w:rsidR="00FE5D0C">
        <w:t>d</w:t>
      </w:r>
      <w:r>
        <w:t>. Consider drawing students’ attention to their appl</w:t>
      </w:r>
      <w:r w:rsidR="00FE5D0C">
        <w:t>i</w:t>
      </w:r>
      <w:r w:rsidR="00277530">
        <w:t>cation of standards L.9-10.4.a, c</w:t>
      </w:r>
      <w:r>
        <w:t>,</w:t>
      </w:r>
      <w:r w:rsidR="00FE5D0C">
        <w:t xml:space="preserve"> </w:t>
      </w:r>
      <w:r>
        <w:t>d by using context to make meaning of a word; consulting reference materials to clarify its precise meaning; verifying the preliminary determination of its meaning.</w:t>
      </w:r>
    </w:p>
    <w:p w:rsidR="0012119C" w:rsidRDefault="0012119C" w:rsidP="009B2160">
      <w:pPr>
        <w:pStyle w:val="TA"/>
      </w:pPr>
      <w:r>
        <w:t xml:space="preserve">Instruct students how to complete the </w:t>
      </w:r>
      <w:r w:rsidR="00FF456A">
        <w:t>vocabulary j</w:t>
      </w:r>
      <w:r>
        <w:t xml:space="preserve">ournal when it is assigned for homework by explaining the </w:t>
      </w:r>
      <w:r w:rsidR="002C3DE1">
        <w:t xml:space="preserve">questions </w:t>
      </w:r>
      <w:r>
        <w:t>fo</w:t>
      </w:r>
      <w:r w:rsidR="002C3DE1">
        <w:t>r each word (“</w:t>
      </w:r>
      <w:r>
        <w:t>Describe where you encountered the word/phrase in the research and why it is problematic</w:t>
      </w:r>
      <w:r w:rsidR="002C3DE1">
        <w:t>”; “</w:t>
      </w:r>
      <w:r w:rsidR="00EB2C0E">
        <w:t xml:space="preserve">Explain </w:t>
      </w:r>
      <w:r>
        <w:t>how you tried to figure out the meaning of the word/phrase</w:t>
      </w:r>
      <w:r w:rsidR="002C3DE1">
        <w:t>”; “C</w:t>
      </w:r>
      <w:r>
        <w:t>onfirm the word’s meaning as it is used in the research text by using a reference source (dictionary, encyclopedia, etc.)</w:t>
      </w:r>
      <w:r w:rsidR="002C3DE1">
        <w:t>”).</w:t>
      </w:r>
    </w:p>
    <w:p w:rsidR="0012119C" w:rsidRDefault="0012119C" w:rsidP="0012119C">
      <w:pPr>
        <w:pStyle w:val="SA"/>
      </w:pPr>
      <w:r>
        <w:t>Students listen.</w:t>
      </w:r>
    </w:p>
    <w:p w:rsidR="0012119C" w:rsidRPr="00707670" w:rsidRDefault="0012119C" w:rsidP="00A105C7">
      <w:pPr>
        <w:pStyle w:val="IN"/>
      </w:pPr>
      <w:r w:rsidRPr="00E02A8D">
        <w:t>Consider instructing students to use notebooks or additional paper f</w:t>
      </w:r>
      <w:r w:rsidR="00FF456A">
        <w:t>or the vocabulary j</w:t>
      </w:r>
      <w:r w:rsidRPr="00E02A8D">
        <w:t>ournal. The notebook or additional paper can be kept in the Research Portfolio throughout the research process</w:t>
      </w:r>
      <w:r w:rsidR="00687E6E">
        <w:t xml:space="preserve"> in </w:t>
      </w:r>
      <w:r w:rsidR="00AD75BA">
        <w:t>10.3.2</w:t>
      </w:r>
      <w:r w:rsidRPr="00E02A8D">
        <w:t>.</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B54A67" w:rsidRPr="00491442" w:rsidRDefault="009470AA" w:rsidP="00B54A67">
      <w:pPr>
        <w:pStyle w:val="TA"/>
      </w:pPr>
      <w:r>
        <w:t>Display and distribute the homework assignment. For homework, instruct students</w:t>
      </w:r>
      <w:r w:rsidR="00DD1481">
        <w:t xml:space="preserve"> to</w:t>
      </w:r>
      <w:r>
        <w:t xml:space="preserve"> continue with their pre-search by finding three more potential sources and recording the </w:t>
      </w:r>
      <w:r w:rsidR="00DD1481">
        <w:t>following</w:t>
      </w:r>
      <w:r>
        <w:t xml:space="preserve"> information</w:t>
      </w:r>
      <w:r w:rsidR="00DD1481">
        <w:t>:</w:t>
      </w:r>
      <w:r w:rsidR="00861E61">
        <w:t xml:space="preserve"> </w:t>
      </w:r>
      <w:r>
        <w:t>source,</w:t>
      </w:r>
      <w:r w:rsidR="003D12CD">
        <w:t xml:space="preserve"> title,</w:t>
      </w:r>
      <w:r>
        <w:t xml:space="preserve"> location, </w:t>
      </w:r>
      <w:r w:rsidR="003D12CD">
        <w:t>author’s name,</w:t>
      </w:r>
      <w:r w:rsidR="00A159E1">
        <w:t xml:space="preserve"> and</w:t>
      </w:r>
      <w:r w:rsidR="003D12CD">
        <w:t xml:space="preserve"> relationship to topic</w:t>
      </w:r>
      <w:r w:rsidR="00A159E1">
        <w:t xml:space="preserve"> </w:t>
      </w:r>
      <w:r w:rsidR="00DD1481">
        <w:t xml:space="preserve">using </w:t>
      </w:r>
      <w:r w:rsidR="00F8724C">
        <w:t xml:space="preserve">the </w:t>
      </w:r>
      <w:r w:rsidR="00DD1481">
        <w:t xml:space="preserve">Pre-Search Tool. </w:t>
      </w:r>
      <w:r w:rsidR="00A16E6F">
        <w:t xml:space="preserve">Instruct </w:t>
      </w:r>
      <w:r w:rsidR="00B54A67">
        <w:t xml:space="preserve">students to begin their </w:t>
      </w:r>
      <w:r w:rsidR="00FF456A">
        <w:t>v</w:t>
      </w:r>
      <w:r w:rsidR="00F8724C">
        <w:t xml:space="preserve">ocabulary </w:t>
      </w:r>
      <w:r w:rsidR="00FF456A">
        <w:t>j</w:t>
      </w:r>
      <w:r w:rsidR="00F8724C">
        <w:t>ournal</w:t>
      </w:r>
      <w:r w:rsidR="00066B17">
        <w:t>s</w:t>
      </w:r>
      <w:r w:rsidR="00F8724C">
        <w:t xml:space="preserve"> </w:t>
      </w:r>
      <w:r w:rsidR="00B54A67">
        <w:t>by using the strategies introduced in the lesson.</w:t>
      </w:r>
    </w:p>
    <w:p w:rsidR="009403AD" w:rsidRDefault="009470AA" w:rsidP="009470AA">
      <w:pPr>
        <w:pStyle w:val="SA"/>
      </w:pPr>
      <w:r>
        <w:t>Students follow along.</w:t>
      </w:r>
    </w:p>
    <w:p w:rsidR="003D12CD" w:rsidRDefault="003D12CD" w:rsidP="00846065">
      <w:pPr>
        <w:pStyle w:val="IN"/>
      </w:pPr>
      <w:r w:rsidRPr="00B26D77">
        <w:lastRenderedPageBreak/>
        <w:t>Th</w:t>
      </w:r>
      <w:r w:rsidR="00985E0C">
        <w:t>e Pre-Search</w:t>
      </w:r>
      <w:r w:rsidRPr="00B26D77">
        <w:t xml:space="preserve"> activity help</w:t>
      </w:r>
      <w:r w:rsidR="00F00571">
        <w:t>s</w:t>
      </w:r>
      <w:r w:rsidRPr="00B26D77">
        <w:t xml:space="preserve"> to develop students’ ability to find relevant sources on their own, as well as to navigate through a wide pool of potential research sources. This activity also help</w:t>
      </w:r>
      <w:r w:rsidR="00A16E6F">
        <w:t>s</w:t>
      </w:r>
      <w:r w:rsidRPr="00B26D77">
        <w:t xml:space="preserve"> students </w:t>
      </w:r>
      <w:r w:rsidR="00A16E6F">
        <w:t xml:space="preserve">to </w:t>
      </w:r>
      <w:r w:rsidRPr="00B26D77">
        <w:t>confirm that there is enough information available about their topic to warrant further research.</w:t>
      </w:r>
    </w:p>
    <w:p w:rsidR="00C4787C" w:rsidRDefault="00C4787C" w:rsidP="00E946A0">
      <w:pPr>
        <w:pStyle w:val="Heading1"/>
      </w:pPr>
      <w:r>
        <w:t>Homework</w:t>
      </w:r>
    </w:p>
    <w:p w:rsidR="00F25EF5" w:rsidRDefault="009470AA" w:rsidP="009B2160">
      <w:pPr>
        <w:rPr>
          <w:sz w:val="20"/>
          <w:szCs w:val="20"/>
        </w:rPr>
      </w:pPr>
      <w:r>
        <w:t>Continue with your pre-search. Find three more potential sources and record the</w:t>
      </w:r>
      <w:r w:rsidR="00DD1481">
        <w:t xml:space="preserve"> following</w:t>
      </w:r>
      <w:r>
        <w:t xml:space="preserve"> information</w:t>
      </w:r>
      <w:r w:rsidR="00DD1481">
        <w:t xml:space="preserve">: </w:t>
      </w:r>
      <w:r w:rsidR="003D12CD">
        <w:t>source, title, location, author’s name,</w:t>
      </w:r>
      <w:r w:rsidR="00A159E1">
        <w:t xml:space="preserve"> and</w:t>
      </w:r>
      <w:r w:rsidR="003D12CD">
        <w:t xml:space="preserve"> relationship to topic, </w:t>
      </w:r>
      <w:r w:rsidR="00DD1481">
        <w:t xml:space="preserve">using </w:t>
      </w:r>
      <w:r w:rsidR="00F8724C">
        <w:t xml:space="preserve">the </w:t>
      </w:r>
      <w:r w:rsidR="00DD1481">
        <w:t>Pre-Search Tool.</w:t>
      </w:r>
      <w:r w:rsidR="00B54A67">
        <w:t xml:space="preserve"> Add vocabulary to </w:t>
      </w:r>
      <w:r w:rsidR="00066B17">
        <w:t>your</w:t>
      </w:r>
      <w:r w:rsidR="00B54A67">
        <w:t xml:space="preserve"> </w:t>
      </w:r>
      <w:r w:rsidR="00FF456A">
        <w:t>v</w:t>
      </w:r>
      <w:r w:rsidR="00F8724C">
        <w:t xml:space="preserve">ocabulary </w:t>
      </w:r>
      <w:r w:rsidR="00FF456A">
        <w:t>j</w:t>
      </w:r>
      <w:r w:rsidR="00F8724C">
        <w:t xml:space="preserve">ournal </w:t>
      </w:r>
      <w:r w:rsidR="00B54A67">
        <w:t>based on the strategies introduced in class.</w:t>
      </w:r>
    </w:p>
    <w:p w:rsidR="00F25EF5" w:rsidRDefault="00F25EF5" w:rsidP="006266A4">
      <w:pPr>
        <w:spacing w:before="0" w:after="200"/>
        <w:rPr>
          <w:rFonts w:asciiTheme="minorHAnsi" w:hAnsiTheme="minorHAnsi"/>
          <w:b/>
          <w:bCs/>
          <w:color w:val="365F91"/>
          <w:sz w:val="32"/>
          <w:szCs w:val="28"/>
        </w:rPr>
      </w:pPr>
      <w:r>
        <w:br w:type="page"/>
      </w:r>
    </w:p>
    <w:p w:rsidR="00820EF9" w:rsidRDefault="00F25EF5" w:rsidP="00F25EF5">
      <w:pPr>
        <w:pStyle w:val="ToolHeader"/>
      </w:pPr>
      <w:r>
        <w:lastRenderedPageBreak/>
        <w:t>Vocabulary Journal</w:t>
      </w:r>
      <w:r w:rsidR="00AF7D5C">
        <w:t xml:space="preserve"> </w:t>
      </w:r>
    </w:p>
    <w:tbl>
      <w:tblPr>
        <w:tblStyle w:val="TableGrid"/>
        <w:tblW w:w="0" w:type="auto"/>
        <w:tblLook w:val="04A0"/>
      </w:tblPr>
      <w:tblGrid>
        <w:gridCol w:w="820"/>
        <w:gridCol w:w="2786"/>
        <w:gridCol w:w="732"/>
        <w:gridCol w:w="3045"/>
        <w:gridCol w:w="720"/>
        <w:gridCol w:w="1373"/>
      </w:tblGrid>
      <w:tr w:rsidR="00563CB8" w:rsidRPr="00707670">
        <w:trPr>
          <w:trHeight w:val="557"/>
        </w:trPr>
        <w:tc>
          <w:tcPr>
            <w:tcW w:w="816"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28"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373" w:type="dxa"/>
            <w:vAlign w:val="center"/>
          </w:tcPr>
          <w:p w:rsidR="0069247E" w:rsidRPr="00707670" w:rsidRDefault="0069247E" w:rsidP="00707670">
            <w:pPr>
              <w:pStyle w:val="TableText"/>
              <w:rPr>
                <w:b/>
              </w:rPr>
            </w:pPr>
          </w:p>
        </w:tc>
      </w:tr>
    </w:tbl>
    <w:p w:rsidR="005837C5" w:rsidRPr="00646088" w:rsidRDefault="005837C5" w:rsidP="00646088">
      <w:pPr>
        <w:spacing w:before="0" w:after="0"/>
        <w:rPr>
          <w:sz w:val="10"/>
        </w:rPr>
      </w:pPr>
    </w:p>
    <w:tbl>
      <w:tblPr>
        <w:tblStyle w:val="TableGrid"/>
        <w:tblW w:w="0" w:type="auto"/>
        <w:tblLook w:val="04A0"/>
      </w:tblPr>
      <w:tblGrid>
        <w:gridCol w:w="3192"/>
        <w:gridCol w:w="6276"/>
      </w:tblGrid>
      <w:tr w:rsidR="00F25EF5" w:rsidRPr="00646088">
        <w:trPr>
          <w:trHeight w:val="288"/>
        </w:trPr>
        <w:tc>
          <w:tcPr>
            <w:tcW w:w="3192" w:type="dxa"/>
            <w:shd w:val="clear" w:color="auto" w:fill="D9D9D9" w:themeFill="background1" w:themeFillShade="D9"/>
            <w:vAlign w:val="bottom"/>
          </w:tcPr>
          <w:p w:rsidR="00F25EF5" w:rsidRPr="00BA4018" w:rsidRDefault="00F25EF5" w:rsidP="00BA4018">
            <w:pPr>
              <w:pStyle w:val="ToolTableText"/>
              <w:spacing w:before="0" w:after="0"/>
              <w:rPr>
                <w:b/>
              </w:rPr>
            </w:pPr>
            <w:r w:rsidRPr="00BA4018">
              <w:rPr>
                <w:b/>
              </w:rPr>
              <w:t>Word</w:t>
            </w:r>
          </w:p>
        </w:tc>
        <w:tc>
          <w:tcPr>
            <w:tcW w:w="6276" w:type="dxa"/>
            <w:shd w:val="clear" w:color="auto" w:fill="D9D9D9" w:themeFill="background1" w:themeFillShade="D9"/>
            <w:vAlign w:val="bottom"/>
          </w:tcPr>
          <w:p w:rsidR="00F25EF5" w:rsidRPr="00BA4018" w:rsidRDefault="00AD75BA" w:rsidP="00BA4018">
            <w:pPr>
              <w:pStyle w:val="ToolTableText"/>
              <w:spacing w:before="0" w:after="0"/>
              <w:rPr>
                <w:b/>
              </w:rPr>
            </w:pPr>
            <w:r>
              <w:rPr>
                <w:b/>
              </w:rPr>
              <w:t>Response</w:t>
            </w:r>
          </w:p>
        </w:tc>
      </w:tr>
      <w:tr w:rsidR="00F25EF5">
        <w:trPr>
          <w:trHeight w:val="1440"/>
        </w:trPr>
        <w:tc>
          <w:tcPr>
            <w:tcW w:w="3192" w:type="dxa"/>
          </w:tcPr>
          <w:p w:rsidR="00F25EF5" w:rsidRPr="00F25EF5" w:rsidRDefault="00F25EF5" w:rsidP="00BA4018">
            <w:pPr>
              <w:pStyle w:val="ToolTableText"/>
            </w:pPr>
            <w:r>
              <w:t xml:space="preserve">Describe where you encountered the word/phrase in the research and why it is problematic. </w:t>
            </w:r>
          </w:p>
        </w:tc>
        <w:tc>
          <w:tcPr>
            <w:tcW w:w="6276" w:type="dxa"/>
          </w:tcPr>
          <w:p w:rsidR="00F25EF5" w:rsidRDefault="00F25EF5" w:rsidP="00BA4018">
            <w:pPr>
              <w:pStyle w:val="ToolTableText"/>
            </w:pPr>
          </w:p>
        </w:tc>
      </w:tr>
      <w:tr w:rsidR="00F25EF5">
        <w:trPr>
          <w:trHeight w:val="1440"/>
        </w:trPr>
        <w:tc>
          <w:tcPr>
            <w:tcW w:w="3192" w:type="dxa"/>
          </w:tcPr>
          <w:p w:rsidR="00F25EF5" w:rsidRPr="00F25EF5" w:rsidRDefault="00F25EF5" w:rsidP="00BA4018">
            <w:pPr>
              <w:pStyle w:val="ToolTableText"/>
            </w:pPr>
            <w:r>
              <w:t xml:space="preserve">Explain how you tried to figure out the meaning of the word/phrase in context. </w:t>
            </w:r>
          </w:p>
        </w:tc>
        <w:tc>
          <w:tcPr>
            <w:tcW w:w="6276" w:type="dxa"/>
          </w:tcPr>
          <w:p w:rsidR="00F25EF5" w:rsidRDefault="00F25EF5" w:rsidP="00BA4018">
            <w:pPr>
              <w:pStyle w:val="ToolTableText"/>
            </w:pPr>
          </w:p>
        </w:tc>
      </w:tr>
      <w:tr w:rsidR="00F25EF5">
        <w:trPr>
          <w:trHeight w:val="1440"/>
        </w:trPr>
        <w:tc>
          <w:tcPr>
            <w:tcW w:w="3192" w:type="dxa"/>
          </w:tcPr>
          <w:p w:rsidR="00F25EF5" w:rsidRDefault="00F25EF5" w:rsidP="00BA4018">
            <w:pPr>
              <w:pStyle w:val="ToolTableText"/>
            </w:pPr>
            <w:r>
              <w:t xml:space="preserve">Confirm the word’s meaning as it is used in the research text by using a reference source (dictionary, encyclopedia, etc.). </w:t>
            </w:r>
          </w:p>
        </w:tc>
        <w:tc>
          <w:tcPr>
            <w:tcW w:w="6276" w:type="dxa"/>
          </w:tcPr>
          <w:p w:rsidR="00F25EF5" w:rsidRDefault="00F25EF5" w:rsidP="00BA4018">
            <w:pPr>
              <w:pStyle w:val="ToolTableText"/>
            </w:pPr>
          </w:p>
        </w:tc>
      </w:tr>
      <w:tr w:rsidR="00F25EF5" w:rsidRPr="00646088">
        <w:trPr>
          <w:trHeight w:val="288"/>
        </w:trPr>
        <w:tc>
          <w:tcPr>
            <w:tcW w:w="3192" w:type="dxa"/>
            <w:shd w:val="clear" w:color="auto" w:fill="D9D9D9" w:themeFill="background1" w:themeFillShade="D9"/>
            <w:vAlign w:val="bottom"/>
          </w:tcPr>
          <w:p w:rsidR="00F25EF5" w:rsidRPr="006F2420" w:rsidRDefault="00F25EF5" w:rsidP="006F2420">
            <w:pPr>
              <w:pStyle w:val="ToolTableText"/>
              <w:spacing w:before="0" w:after="0"/>
              <w:rPr>
                <w:b/>
              </w:rPr>
            </w:pPr>
            <w:r w:rsidRPr="006F2420">
              <w:rPr>
                <w:b/>
              </w:rPr>
              <w:t>Word</w:t>
            </w:r>
          </w:p>
        </w:tc>
        <w:tc>
          <w:tcPr>
            <w:tcW w:w="6276" w:type="dxa"/>
            <w:shd w:val="clear" w:color="auto" w:fill="D9D9D9" w:themeFill="background1" w:themeFillShade="D9"/>
            <w:vAlign w:val="bottom"/>
          </w:tcPr>
          <w:p w:rsidR="00F25EF5" w:rsidRPr="006F2420" w:rsidRDefault="00AD75BA" w:rsidP="006F2420">
            <w:pPr>
              <w:pStyle w:val="ToolTableText"/>
              <w:spacing w:before="0" w:after="0"/>
              <w:rPr>
                <w:b/>
              </w:rPr>
            </w:pPr>
            <w:r>
              <w:rPr>
                <w:b/>
              </w:rPr>
              <w:t>Response</w:t>
            </w:r>
          </w:p>
        </w:tc>
      </w:tr>
      <w:tr w:rsidR="00F25EF5">
        <w:trPr>
          <w:trHeight w:val="1440"/>
        </w:trPr>
        <w:tc>
          <w:tcPr>
            <w:tcW w:w="3192" w:type="dxa"/>
          </w:tcPr>
          <w:p w:rsidR="00F25EF5" w:rsidRPr="00F25EF5" w:rsidRDefault="00F25EF5" w:rsidP="00BA4018">
            <w:pPr>
              <w:pStyle w:val="ToolTableText"/>
            </w:pPr>
            <w:r>
              <w:t xml:space="preserve">Describe where you encountered the word/phrase in the research and why it is problematic. </w:t>
            </w:r>
          </w:p>
        </w:tc>
        <w:tc>
          <w:tcPr>
            <w:tcW w:w="6276" w:type="dxa"/>
          </w:tcPr>
          <w:p w:rsidR="00F25EF5" w:rsidRDefault="00F25EF5" w:rsidP="00BA4018">
            <w:pPr>
              <w:pStyle w:val="ToolTableText"/>
            </w:pPr>
          </w:p>
        </w:tc>
      </w:tr>
      <w:tr w:rsidR="00F25EF5">
        <w:trPr>
          <w:trHeight w:val="1440"/>
        </w:trPr>
        <w:tc>
          <w:tcPr>
            <w:tcW w:w="3192" w:type="dxa"/>
          </w:tcPr>
          <w:p w:rsidR="00F25EF5" w:rsidRPr="00F25EF5" w:rsidRDefault="00F25EF5" w:rsidP="00BA4018">
            <w:pPr>
              <w:pStyle w:val="ToolTableText"/>
            </w:pPr>
            <w:r>
              <w:t xml:space="preserve">Explain how you tried to figure out the meaning of the word/phrase in context. </w:t>
            </w:r>
          </w:p>
        </w:tc>
        <w:tc>
          <w:tcPr>
            <w:tcW w:w="6276" w:type="dxa"/>
          </w:tcPr>
          <w:p w:rsidR="00F25EF5" w:rsidRDefault="00F25EF5" w:rsidP="00BA4018">
            <w:pPr>
              <w:pStyle w:val="ToolTableText"/>
            </w:pPr>
          </w:p>
        </w:tc>
      </w:tr>
      <w:tr w:rsidR="00F25EF5">
        <w:trPr>
          <w:trHeight w:val="1440"/>
        </w:trPr>
        <w:tc>
          <w:tcPr>
            <w:tcW w:w="3192" w:type="dxa"/>
          </w:tcPr>
          <w:p w:rsidR="00F25EF5" w:rsidRDefault="00F25EF5" w:rsidP="00BA4018">
            <w:pPr>
              <w:pStyle w:val="ToolTableText"/>
            </w:pPr>
            <w:r>
              <w:t xml:space="preserve">Confirm the word’s meaning as it is used in the research text by using a reference source (dictionary, encyclopedia, etc.). </w:t>
            </w:r>
          </w:p>
        </w:tc>
        <w:tc>
          <w:tcPr>
            <w:tcW w:w="6276" w:type="dxa"/>
          </w:tcPr>
          <w:p w:rsidR="00F25EF5" w:rsidRDefault="00F25EF5" w:rsidP="00BA4018">
            <w:pPr>
              <w:pStyle w:val="ToolTableText"/>
            </w:pPr>
          </w:p>
        </w:tc>
      </w:tr>
    </w:tbl>
    <w:p w:rsidR="002041CD" w:rsidRDefault="002041CD">
      <w:pPr>
        <w:spacing w:before="0" w:after="0" w:line="240" w:lineRule="auto"/>
      </w:pPr>
      <w:r>
        <w:br w:type="page"/>
      </w:r>
    </w:p>
    <w:p w:rsidR="00F25EF5" w:rsidRDefault="00F25EF5" w:rsidP="00F25EF5">
      <w:pPr>
        <w:pStyle w:val="ToolHeader"/>
      </w:pPr>
      <w:r>
        <w:lastRenderedPageBreak/>
        <w:t>Model Vocabulary Journal</w:t>
      </w:r>
      <w:r w:rsidR="00AF7D5C">
        <w:t xml:space="preserve"> </w:t>
      </w:r>
    </w:p>
    <w:tbl>
      <w:tblPr>
        <w:tblStyle w:val="TableGrid"/>
        <w:tblW w:w="0" w:type="auto"/>
        <w:tblLook w:val="04A0"/>
      </w:tblPr>
      <w:tblGrid>
        <w:gridCol w:w="820"/>
        <w:gridCol w:w="2786"/>
        <w:gridCol w:w="732"/>
        <w:gridCol w:w="3045"/>
        <w:gridCol w:w="720"/>
        <w:gridCol w:w="1373"/>
      </w:tblGrid>
      <w:tr w:rsidR="00F25EF5" w:rsidRPr="00707670">
        <w:trPr>
          <w:trHeight w:val="557"/>
        </w:trPr>
        <w:tc>
          <w:tcPr>
            <w:tcW w:w="816" w:type="dxa"/>
            <w:shd w:val="clear" w:color="auto" w:fill="D9D9D9" w:themeFill="background1" w:themeFillShade="D9"/>
            <w:vAlign w:val="center"/>
          </w:tcPr>
          <w:p w:rsidR="00F25EF5" w:rsidRPr="00707670" w:rsidRDefault="00F25EF5" w:rsidP="00DC22A3">
            <w:pPr>
              <w:pStyle w:val="TableText"/>
              <w:rPr>
                <w:b/>
              </w:rPr>
            </w:pPr>
            <w:r w:rsidRPr="00707670">
              <w:rPr>
                <w:b/>
              </w:rPr>
              <w:t>Name:</w:t>
            </w:r>
          </w:p>
        </w:tc>
        <w:tc>
          <w:tcPr>
            <w:tcW w:w="2786" w:type="dxa"/>
            <w:vAlign w:val="center"/>
          </w:tcPr>
          <w:p w:rsidR="00F25EF5" w:rsidRPr="00707670" w:rsidRDefault="00F25EF5" w:rsidP="00DC22A3">
            <w:pPr>
              <w:pStyle w:val="TableText"/>
              <w:rPr>
                <w:b/>
              </w:rPr>
            </w:pPr>
          </w:p>
        </w:tc>
        <w:tc>
          <w:tcPr>
            <w:tcW w:w="728" w:type="dxa"/>
            <w:shd w:val="clear" w:color="auto" w:fill="D9D9D9" w:themeFill="background1" w:themeFillShade="D9"/>
            <w:vAlign w:val="center"/>
          </w:tcPr>
          <w:p w:rsidR="00F25EF5" w:rsidRPr="00707670" w:rsidRDefault="00F25EF5" w:rsidP="00DC22A3">
            <w:pPr>
              <w:pStyle w:val="TableText"/>
              <w:rPr>
                <w:b/>
              </w:rPr>
            </w:pPr>
            <w:r w:rsidRPr="00707670">
              <w:rPr>
                <w:b/>
              </w:rPr>
              <w:t>Class:</w:t>
            </w:r>
          </w:p>
        </w:tc>
        <w:tc>
          <w:tcPr>
            <w:tcW w:w="3045" w:type="dxa"/>
            <w:vAlign w:val="center"/>
          </w:tcPr>
          <w:p w:rsidR="00F25EF5" w:rsidRPr="00707670" w:rsidRDefault="00F25EF5" w:rsidP="00DC22A3">
            <w:pPr>
              <w:pStyle w:val="TableText"/>
              <w:rPr>
                <w:b/>
              </w:rPr>
            </w:pPr>
          </w:p>
        </w:tc>
        <w:tc>
          <w:tcPr>
            <w:tcW w:w="720" w:type="dxa"/>
            <w:shd w:val="clear" w:color="auto" w:fill="D9D9D9" w:themeFill="background1" w:themeFillShade="D9"/>
            <w:vAlign w:val="center"/>
          </w:tcPr>
          <w:p w:rsidR="00F25EF5" w:rsidRPr="00707670" w:rsidRDefault="00F25EF5" w:rsidP="00DC22A3">
            <w:pPr>
              <w:pStyle w:val="TableText"/>
              <w:rPr>
                <w:b/>
              </w:rPr>
            </w:pPr>
            <w:r w:rsidRPr="00707670">
              <w:rPr>
                <w:b/>
              </w:rPr>
              <w:t>Date:</w:t>
            </w:r>
          </w:p>
        </w:tc>
        <w:tc>
          <w:tcPr>
            <w:tcW w:w="1373" w:type="dxa"/>
            <w:vAlign w:val="center"/>
          </w:tcPr>
          <w:p w:rsidR="00F25EF5" w:rsidRPr="00707670" w:rsidRDefault="00F25EF5" w:rsidP="00DC22A3">
            <w:pPr>
              <w:pStyle w:val="TableText"/>
              <w:rPr>
                <w:b/>
              </w:rPr>
            </w:pPr>
          </w:p>
        </w:tc>
      </w:tr>
    </w:tbl>
    <w:p w:rsidR="00F25EF5" w:rsidRPr="00646088" w:rsidRDefault="00F25EF5" w:rsidP="00F25EF5">
      <w:pPr>
        <w:spacing w:before="0" w:after="0"/>
        <w:rPr>
          <w:sz w:val="10"/>
        </w:rPr>
      </w:pPr>
    </w:p>
    <w:tbl>
      <w:tblPr>
        <w:tblStyle w:val="TableGrid"/>
        <w:tblW w:w="0" w:type="auto"/>
        <w:tblLook w:val="04A0"/>
      </w:tblPr>
      <w:tblGrid>
        <w:gridCol w:w="3192"/>
        <w:gridCol w:w="6276"/>
      </w:tblGrid>
      <w:tr w:rsidR="00F25EF5" w:rsidRPr="00646088">
        <w:tc>
          <w:tcPr>
            <w:tcW w:w="3192" w:type="dxa"/>
            <w:shd w:val="clear" w:color="auto" w:fill="D9D9D9" w:themeFill="background1" w:themeFillShade="D9"/>
            <w:vAlign w:val="bottom"/>
          </w:tcPr>
          <w:p w:rsidR="00F25EF5" w:rsidRPr="00646088" w:rsidRDefault="00F25EF5" w:rsidP="006F2420">
            <w:pPr>
              <w:pStyle w:val="ToolTableText"/>
              <w:spacing w:after="0"/>
              <w:rPr>
                <w:b/>
              </w:rPr>
            </w:pPr>
            <w:r>
              <w:rPr>
                <w:b/>
              </w:rPr>
              <w:t>Word</w:t>
            </w:r>
            <w:r w:rsidR="00AF077C">
              <w:rPr>
                <w:b/>
              </w:rPr>
              <w:t>: human genome</w:t>
            </w:r>
          </w:p>
        </w:tc>
        <w:tc>
          <w:tcPr>
            <w:tcW w:w="6276" w:type="dxa"/>
            <w:shd w:val="clear" w:color="auto" w:fill="D9D9D9" w:themeFill="background1" w:themeFillShade="D9"/>
            <w:vAlign w:val="bottom"/>
          </w:tcPr>
          <w:p w:rsidR="00F25EF5" w:rsidRPr="00646088" w:rsidRDefault="00AD75BA" w:rsidP="006F2420">
            <w:pPr>
              <w:pStyle w:val="ToolTableText"/>
              <w:spacing w:after="0"/>
              <w:rPr>
                <w:b/>
              </w:rPr>
            </w:pPr>
            <w:r>
              <w:rPr>
                <w:b/>
              </w:rPr>
              <w:t>Response</w:t>
            </w:r>
          </w:p>
        </w:tc>
      </w:tr>
      <w:tr w:rsidR="00F25EF5">
        <w:trPr>
          <w:trHeight w:val="1440"/>
        </w:trPr>
        <w:tc>
          <w:tcPr>
            <w:tcW w:w="3192" w:type="dxa"/>
          </w:tcPr>
          <w:p w:rsidR="00F25EF5" w:rsidRPr="00F25EF5" w:rsidRDefault="00F25EF5" w:rsidP="006F2420">
            <w:pPr>
              <w:pStyle w:val="ToolTableText"/>
            </w:pPr>
            <w:r>
              <w:t xml:space="preserve">Describe where you encountered the word/phrase in the research and why it is problematic. </w:t>
            </w:r>
          </w:p>
        </w:tc>
        <w:tc>
          <w:tcPr>
            <w:tcW w:w="6276" w:type="dxa"/>
          </w:tcPr>
          <w:p w:rsidR="00F25EF5" w:rsidRDefault="00AF077C" w:rsidP="006F2420">
            <w:pPr>
              <w:pStyle w:val="ToolTableText"/>
            </w:pPr>
            <w:r>
              <w:t>I saw it in the first article and I did</w:t>
            </w:r>
            <w:r w:rsidR="00DD1481">
              <w:t xml:space="preserve"> </w:t>
            </w:r>
            <w:r>
              <w:t>n</w:t>
            </w:r>
            <w:r w:rsidR="00DD1481">
              <w:t>o</w:t>
            </w:r>
            <w:r>
              <w:t>t know what it meant. It is part of the main point of the article.</w:t>
            </w:r>
          </w:p>
        </w:tc>
      </w:tr>
      <w:tr w:rsidR="00F25EF5">
        <w:trPr>
          <w:trHeight w:val="1440"/>
        </w:trPr>
        <w:tc>
          <w:tcPr>
            <w:tcW w:w="3192" w:type="dxa"/>
          </w:tcPr>
          <w:p w:rsidR="00F25EF5" w:rsidRPr="00F25EF5" w:rsidRDefault="00F25EF5" w:rsidP="006F2420">
            <w:pPr>
              <w:pStyle w:val="ToolTableText"/>
            </w:pPr>
            <w:r>
              <w:t xml:space="preserve">Explain how you tried to figure out the meaning of the word/phrase in context. </w:t>
            </w:r>
          </w:p>
        </w:tc>
        <w:tc>
          <w:tcPr>
            <w:tcW w:w="6276" w:type="dxa"/>
          </w:tcPr>
          <w:p w:rsidR="00F25EF5" w:rsidRDefault="00AF077C" w:rsidP="006F2420">
            <w:pPr>
              <w:pStyle w:val="ToolTableText"/>
            </w:pPr>
            <w:r>
              <w:t xml:space="preserve">I know what </w:t>
            </w:r>
            <w:r w:rsidRPr="009B2160">
              <w:rPr>
                <w:i/>
              </w:rPr>
              <w:t>gene</w:t>
            </w:r>
            <w:r>
              <w:t xml:space="preserve"> means, and </w:t>
            </w:r>
            <w:r w:rsidRPr="009B2160">
              <w:rPr>
                <w:i/>
              </w:rPr>
              <w:t>genome</w:t>
            </w:r>
            <w:r>
              <w:t xml:space="preserve"> seems to be similar to that.</w:t>
            </w:r>
          </w:p>
        </w:tc>
      </w:tr>
      <w:tr w:rsidR="00F25EF5">
        <w:trPr>
          <w:trHeight w:val="1440"/>
        </w:trPr>
        <w:tc>
          <w:tcPr>
            <w:tcW w:w="3192" w:type="dxa"/>
          </w:tcPr>
          <w:p w:rsidR="00F25EF5" w:rsidRDefault="00F25EF5" w:rsidP="006F2420">
            <w:pPr>
              <w:pStyle w:val="ToolTableText"/>
            </w:pPr>
            <w:r>
              <w:t xml:space="preserve">Confirm the word’s meaning as it is used in the research text by using a reference source (dictionary, encyclopedia, etc.). </w:t>
            </w:r>
          </w:p>
        </w:tc>
        <w:tc>
          <w:tcPr>
            <w:tcW w:w="6276" w:type="dxa"/>
          </w:tcPr>
          <w:p w:rsidR="00F25EF5" w:rsidRDefault="00AF077C" w:rsidP="00201FAD">
            <w:pPr>
              <w:pStyle w:val="ToolTableText"/>
            </w:pPr>
            <w:r>
              <w:t>The dictionary says, “</w:t>
            </w:r>
            <w:r>
              <w:rPr>
                <w:rStyle w:val="ssens"/>
              </w:rPr>
              <w:t xml:space="preserve">one haploid set of chromosomes with the genes they contain; </w:t>
            </w:r>
            <w:r w:rsidRPr="00BE60A7">
              <w:rPr>
                <w:rStyle w:val="Emphasis"/>
                <w:i w:val="0"/>
              </w:rPr>
              <w:t>broadly</w:t>
            </w:r>
            <w:r w:rsidRPr="00BE60A7">
              <w:rPr>
                <w:rStyle w:val="Strong"/>
                <w:b w:val="0"/>
                <w:i/>
              </w:rPr>
              <w:t>:</w:t>
            </w:r>
            <w:r w:rsidR="006F2420">
              <w:rPr>
                <w:rStyle w:val="Strong"/>
              </w:rPr>
              <w:t xml:space="preserve"> </w:t>
            </w:r>
            <w:r>
              <w:rPr>
                <w:rStyle w:val="ssens"/>
              </w:rPr>
              <w:t>the genetic material of an organism” so it appears to be all the genes that make up a person.</w:t>
            </w:r>
          </w:p>
        </w:tc>
      </w:tr>
      <w:tr w:rsidR="00F25EF5" w:rsidRPr="00646088">
        <w:trPr>
          <w:trHeight w:val="288"/>
        </w:trPr>
        <w:tc>
          <w:tcPr>
            <w:tcW w:w="3192" w:type="dxa"/>
            <w:shd w:val="clear" w:color="auto" w:fill="D9D9D9" w:themeFill="background1" w:themeFillShade="D9"/>
            <w:vAlign w:val="bottom"/>
          </w:tcPr>
          <w:p w:rsidR="00F25EF5" w:rsidRPr="00F25EF5" w:rsidRDefault="00F25EF5" w:rsidP="006F2420">
            <w:pPr>
              <w:pStyle w:val="ToolTableText"/>
              <w:spacing w:after="0"/>
              <w:rPr>
                <w:b/>
              </w:rPr>
            </w:pPr>
            <w:r w:rsidRPr="00F25EF5">
              <w:rPr>
                <w:b/>
              </w:rPr>
              <w:t>Word</w:t>
            </w:r>
            <w:r w:rsidR="00AF077C">
              <w:rPr>
                <w:b/>
              </w:rPr>
              <w:t>: conjoined</w:t>
            </w:r>
          </w:p>
        </w:tc>
        <w:tc>
          <w:tcPr>
            <w:tcW w:w="6276" w:type="dxa"/>
            <w:shd w:val="clear" w:color="auto" w:fill="D9D9D9" w:themeFill="background1" w:themeFillShade="D9"/>
            <w:vAlign w:val="bottom"/>
          </w:tcPr>
          <w:p w:rsidR="00F25EF5" w:rsidRPr="00646088" w:rsidRDefault="00AD75BA" w:rsidP="006F2420">
            <w:pPr>
              <w:pStyle w:val="ToolTableText"/>
              <w:spacing w:after="0"/>
              <w:rPr>
                <w:b/>
              </w:rPr>
            </w:pPr>
            <w:r>
              <w:rPr>
                <w:b/>
              </w:rPr>
              <w:t>Response</w:t>
            </w:r>
          </w:p>
        </w:tc>
      </w:tr>
      <w:tr w:rsidR="00F25EF5">
        <w:trPr>
          <w:trHeight w:val="1440"/>
        </w:trPr>
        <w:tc>
          <w:tcPr>
            <w:tcW w:w="3192" w:type="dxa"/>
          </w:tcPr>
          <w:p w:rsidR="00F25EF5" w:rsidRPr="00F25EF5" w:rsidRDefault="00F25EF5" w:rsidP="006F2420">
            <w:pPr>
              <w:pStyle w:val="ToolTableText"/>
            </w:pPr>
            <w:r>
              <w:t xml:space="preserve">Describe where you encountered the word/phrase in the research and why it is problematic. </w:t>
            </w:r>
          </w:p>
        </w:tc>
        <w:tc>
          <w:tcPr>
            <w:tcW w:w="6276" w:type="dxa"/>
          </w:tcPr>
          <w:p w:rsidR="00F25EF5" w:rsidRDefault="00AF077C" w:rsidP="006F2420">
            <w:pPr>
              <w:pStyle w:val="ToolTableText"/>
            </w:pPr>
            <w:r>
              <w:t xml:space="preserve">The word was in an article about twins. </w:t>
            </w:r>
          </w:p>
        </w:tc>
      </w:tr>
      <w:tr w:rsidR="00F25EF5">
        <w:trPr>
          <w:trHeight w:val="1440"/>
        </w:trPr>
        <w:tc>
          <w:tcPr>
            <w:tcW w:w="3192" w:type="dxa"/>
          </w:tcPr>
          <w:p w:rsidR="00F25EF5" w:rsidRPr="00F25EF5" w:rsidRDefault="00F25EF5" w:rsidP="006F2420">
            <w:pPr>
              <w:pStyle w:val="ToolTableText"/>
            </w:pPr>
            <w:r>
              <w:t xml:space="preserve">Explain how you tried to figure out the meaning of the word/phrase in context. </w:t>
            </w:r>
          </w:p>
        </w:tc>
        <w:tc>
          <w:tcPr>
            <w:tcW w:w="6276" w:type="dxa"/>
          </w:tcPr>
          <w:p w:rsidR="00F25EF5" w:rsidRDefault="00AF077C" w:rsidP="009909EA">
            <w:pPr>
              <w:pStyle w:val="ToolTableText"/>
            </w:pPr>
            <w:r>
              <w:t xml:space="preserve">I know that it has the word </w:t>
            </w:r>
            <w:r w:rsidRPr="009B2160">
              <w:rPr>
                <w:i/>
              </w:rPr>
              <w:t>joined</w:t>
            </w:r>
            <w:r>
              <w:t xml:space="preserve"> in it, and I know that the prefix </w:t>
            </w:r>
            <w:r w:rsidRPr="009B2160">
              <w:rPr>
                <w:i/>
              </w:rPr>
              <w:t>con</w:t>
            </w:r>
            <w:r>
              <w:t xml:space="preserve"> can mean </w:t>
            </w:r>
            <w:r w:rsidRPr="009B2160">
              <w:rPr>
                <w:i/>
              </w:rPr>
              <w:t>together</w:t>
            </w:r>
            <w:r>
              <w:t>, but I did</w:t>
            </w:r>
            <w:r w:rsidR="00DD1481">
              <w:t xml:space="preserve"> </w:t>
            </w:r>
            <w:r>
              <w:t>n</w:t>
            </w:r>
            <w:r w:rsidR="00DD1481">
              <w:t>o</w:t>
            </w:r>
            <w:r>
              <w:t xml:space="preserve">t know if the twins were together before they were born or after. </w:t>
            </w:r>
          </w:p>
        </w:tc>
      </w:tr>
      <w:tr w:rsidR="00F25EF5">
        <w:trPr>
          <w:trHeight w:val="1440"/>
        </w:trPr>
        <w:tc>
          <w:tcPr>
            <w:tcW w:w="3192" w:type="dxa"/>
          </w:tcPr>
          <w:p w:rsidR="00F25EF5" w:rsidRDefault="00F25EF5" w:rsidP="006F2420">
            <w:pPr>
              <w:pStyle w:val="ToolTableText"/>
            </w:pPr>
            <w:r>
              <w:t xml:space="preserve">Confirm the word’s meaning as it is used in the research text by using a reference source (dictionary, encyclopedia, etc.). </w:t>
            </w:r>
          </w:p>
        </w:tc>
        <w:tc>
          <w:tcPr>
            <w:tcW w:w="6276" w:type="dxa"/>
          </w:tcPr>
          <w:p w:rsidR="00F25EF5" w:rsidRDefault="00AF077C" w:rsidP="006F2420">
            <w:pPr>
              <w:pStyle w:val="ToolTableText"/>
            </w:pPr>
            <w:r>
              <w:t>The definition said, “</w:t>
            </w:r>
            <w:r>
              <w:rPr>
                <w:rStyle w:val="ssens"/>
              </w:rPr>
              <w:t>being, coming, or brought together so as to meet, touch, overlap, or unite” but that did not help. So I searched “conjoined twins” and that said, “twins that are physically united at some part or parts of their bodies at the time of birth” so it means twins that are physically connected after they are born.</w:t>
            </w:r>
          </w:p>
        </w:tc>
      </w:tr>
    </w:tbl>
    <w:p w:rsidR="008540A4" w:rsidRDefault="008540A4" w:rsidP="00846065">
      <w:pPr>
        <w:spacing w:before="0" w:after="0" w:line="240" w:lineRule="auto"/>
      </w:pPr>
    </w:p>
    <w:p w:rsidR="008540A4" w:rsidRDefault="008540A4">
      <w:pPr>
        <w:spacing w:before="0" w:after="0" w:line="240" w:lineRule="auto"/>
      </w:pPr>
      <w:r>
        <w:br w:type="page"/>
      </w:r>
    </w:p>
    <w:p w:rsidR="008540A4" w:rsidRPr="008D5335" w:rsidRDefault="008540A4" w:rsidP="008540A4">
      <w:pPr>
        <w:pStyle w:val="ToolHeader"/>
      </w:pPr>
      <w:r>
        <w:rPr>
          <w:bCs w:val="0"/>
          <w:color w:val="355E91"/>
          <w:szCs w:val="32"/>
        </w:rPr>
        <w:lastRenderedPageBreak/>
        <w:t>Model Pre-Search Tool</w:t>
      </w:r>
    </w:p>
    <w:tbl>
      <w:tblPr>
        <w:tblStyle w:val="TableGrid"/>
        <w:tblW w:w="0" w:type="auto"/>
        <w:tblLook w:val="04A0"/>
      </w:tblPr>
      <w:tblGrid>
        <w:gridCol w:w="820"/>
        <w:gridCol w:w="2786"/>
        <w:gridCol w:w="732"/>
        <w:gridCol w:w="3045"/>
        <w:gridCol w:w="720"/>
        <w:gridCol w:w="1373"/>
      </w:tblGrid>
      <w:tr w:rsidR="008540A4" w:rsidRPr="00707670" w:rsidTr="00997A58">
        <w:trPr>
          <w:trHeight w:val="557"/>
        </w:trPr>
        <w:tc>
          <w:tcPr>
            <w:tcW w:w="816" w:type="dxa"/>
            <w:shd w:val="clear" w:color="auto" w:fill="D9D9D9" w:themeFill="background1" w:themeFillShade="D9"/>
            <w:vAlign w:val="center"/>
          </w:tcPr>
          <w:p w:rsidR="008540A4" w:rsidRPr="00707670" w:rsidRDefault="008540A4" w:rsidP="00997A58">
            <w:pPr>
              <w:pStyle w:val="TableText"/>
              <w:rPr>
                <w:b/>
              </w:rPr>
            </w:pPr>
            <w:r w:rsidRPr="00707670">
              <w:rPr>
                <w:b/>
              </w:rPr>
              <w:t>Name:</w:t>
            </w:r>
          </w:p>
        </w:tc>
        <w:tc>
          <w:tcPr>
            <w:tcW w:w="2786" w:type="dxa"/>
            <w:vAlign w:val="center"/>
          </w:tcPr>
          <w:p w:rsidR="008540A4" w:rsidRPr="008257D1" w:rsidRDefault="008540A4" w:rsidP="00997A58">
            <w:pPr>
              <w:pStyle w:val="TableText"/>
              <w:rPr>
                <w:rFonts w:ascii="Bradley Hand ITC" w:hAnsi="Bradley Hand ITC"/>
                <w:sz w:val="24"/>
                <w:szCs w:val="24"/>
              </w:rPr>
            </w:pPr>
          </w:p>
        </w:tc>
        <w:tc>
          <w:tcPr>
            <w:tcW w:w="728" w:type="dxa"/>
            <w:shd w:val="clear" w:color="auto" w:fill="D9D9D9" w:themeFill="background1" w:themeFillShade="D9"/>
            <w:vAlign w:val="center"/>
          </w:tcPr>
          <w:p w:rsidR="008540A4" w:rsidRPr="00707670" w:rsidRDefault="008540A4" w:rsidP="00997A58">
            <w:pPr>
              <w:pStyle w:val="TableText"/>
              <w:rPr>
                <w:b/>
              </w:rPr>
            </w:pPr>
            <w:r w:rsidRPr="00707670">
              <w:rPr>
                <w:b/>
              </w:rPr>
              <w:t>Class:</w:t>
            </w:r>
          </w:p>
        </w:tc>
        <w:tc>
          <w:tcPr>
            <w:tcW w:w="3045" w:type="dxa"/>
            <w:vAlign w:val="center"/>
          </w:tcPr>
          <w:p w:rsidR="008540A4" w:rsidRPr="00707670" w:rsidRDefault="008540A4" w:rsidP="00997A58">
            <w:pPr>
              <w:pStyle w:val="TableText"/>
              <w:rPr>
                <w:b/>
              </w:rPr>
            </w:pPr>
          </w:p>
        </w:tc>
        <w:tc>
          <w:tcPr>
            <w:tcW w:w="720" w:type="dxa"/>
            <w:shd w:val="clear" w:color="auto" w:fill="D9D9D9" w:themeFill="background1" w:themeFillShade="D9"/>
            <w:vAlign w:val="center"/>
          </w:tcPr>
          <w:p w:rsidR="008540A4" w:rsidRPr="00707670" w:rsidRDefault="008540A4" w:rsidP="00997A58">
            <w:pPr>
              <w:pStyle w:val="TableText"/>
              <w:rPr>
                <w:b/>
              </w:rPr>
            </w:pPr>
            <w:r w:rsidRPr="00707670">
              <w:rPr>
                <w:b/>
              </w:rPr>
              <w:t>Date:</w:t>
            </w:r>
          </w:p>
        </w:tc>
        <w:tc>
          <w:tcPr>
            <w:tcW w:w="1373" w:type="dxa"/>
            <w:vAlign w:val="center"/>
          </w:tcPr>
          <w:p w:rsidR="008540A4" w:rsidRPr="00707670" w:rsidRDefault="008540A4" w:rsidP="00997A58">
            <w:pPr>
              <w:pStyle w:val="TableText"/>
              <w:rPr>
                <w:b/>
              </w:rPr>
            </w:pPr>
          </w:p>
        </w:tc>
      </w:tr>
    </w:tbl>
    <w:p w:rsidR="008540A4" w:rsidRPr="00646088" w:rsidRDefault="008540A4" w:rsidP="008540A4">
      <w:pPr>
        <w:spacing w:before="0" w:after="0"/>
        <w:rPr>
          <w:sz w:val="10"/>
        </w:rPr>
      </w:pPr>
    </w:p>
    <w:tbl>
      <w:tblPr>
        <w:tblStyle w:val="TableGrid"/>
        <w:tblW w:w="0" w:type="auto"/>
        <w:tblLayout w:type="fixed"/>
        <w:tblLook w:val="04A0"/>
      </w:tblPr>
      <w:tblGrid>
        <w:gridCol w:w="5328"/>
        <w:gridCol w:w="4140"/>
      </w:tblGrid>
      <w:tr w:rsidR="008540A4" w:rsidRPr="00646088" w:rsidTr="00997A58">
        <w:tc>
          <w:tcPr>
            <w:tcW w:w="5328" w:type="dxa"/>
            <w:shd w:val="clear" w:color="auto" w:fill="D9D9D9" w:themeFill="background1" w:themeFillShade="D9"/>
          </w:tcPr>
          <w:p w:rsidR="008540A4" w:rsidRPr="00646088" w:rsidRDefault="008540A4" w:rsidP="00997A58">
            <w:pPr>
              <w:pStyle w:val="ToolTableText"/>
              <w:rPr>
                <w:b/>
              </w:rPr>
            </w:pPr>
            <w:r>
              <w:rPr>
                <w:b/>
              </w:rPr>
              <w:t>Source Notes</w:t>
            </w:r>
          </w:p>
        </w:tc>
        <w:tc>
          <w:tcPr>
            <w:tcW w:w="4140" w:type="dxa"/>
            <w:shd w:val="clear" w:color="auto" w:fill="D9D9D9" w:themeFill="background1" w:themeFillShade="D9"/>
          </w:tcPr>
          <w:p w:rsidR="008540A4" w:rsidRPr="006427E6" w:rsidRDefault="008540A4" w:rsidP="00997A58">
            <w:pPr>
              <w:pStyle w:val="Default"/>
              <w:rPr>
                <w:sz w:val="22"/>
              </w:rPr>
            </w:pPr>
            <w:r>
              <w:rPr>
                <w:b/>
                <w:bCs/>
                <w:sz w:val="22"/>
                <w:szCs w:val="22"/>
              </w:rPr>
              <w:t xml:space="preserve">How does this source connect to your potential area of investigation? </w:t>
            </w:r>
          </w:p>
        </w:tc>
      </w:tr>
      <w:tr w:rsidR="008540A4" w:rsidTr="00997A58">
        <w:tc>
          <w:tcPr>
            <w:tcW w:w="5328" w:type="dxa"/>
          </w:tcPr>
          <w:p w:rsidR="008540A4" w:rsidRPr="00BA4018" w:rsidRDefault="008540A4" w:rsidP="00997A58">
            <w:pPr>
              <w:pStyle w:val="ToolTableText"/>
              <w:rPr>
                <w:b/>
              </w:rPr>
            </w:pPr>
            <w:r w:rsidRPr="00BA4018">
              <w:rPr>
                <w:b/>
              </w:rPr>
              <w:t xml:space="preserve">Source #1 </w:t>
            </w:r>
          </w:p>
          <w:p w:rsidR="008540A4" w:rsidRPr="00EF0BC4" w:rsidRDefault="008540A4" w:rsidP="00997A58">
            <w:pPr>
              <w:pStyle w:val="ToolTableText"/>
            </w:pPr>
            <w:r w:rsidRPr="00EF0BC4">
              <w:t xml:space="preserve">Title: </w:t>
            </w:r>
            <w:r>
              <w:t>“</w:t>
            </w:r>
            <w:r w:rsidRPr="00EF0BC4">
              <w:t>Genetic Basis for Crime: A New Look</w:t>
            </w:r>
            <w:r>
              <w:t>”</w:t>
            </w:r>
          </w:p>
          <w:p w:rsidR="008540A4" w:rsidRPr="00EF0BC4" w:rsidRDefault="008540A4" w:rsidP="00997A58">
            <w:pPr>
              <w:pStyle w:val="ToolTableText"/>
            </w:pPr>
            <w:r w:rsidRPr="00EF0BC4">
              <w:t xml:space="preserve">Location: </w:t>
            </w:r>
            <w:hyperlink r:id="rId8" w:history="1">
              <w:r w:rsidR="00E94894" w:rsidRPr="00325A5F">
                <w:rPr>
                  <w:rStyle w:val="Hyperlink"/>
                </w:rPr>
                <w:t>http://www.nytimes.com/2011/06/20/arts/genetics-and-crime-at-institute-of-justice-conference.html</w:t>
              </w:r>
            </w:hyperlink>
            <w:r w:rsidR="00E94894">
              <w:t xml:space="preserve"> </w:t>
            </w:r>
          </w:p>
          <w:p w:rsidR="008540A4" w:rsidRPr="00EF0BC4" w:rsidRDefault="008540A4" w:rsidP="00997A58">
            <w:pPr>
              <w:pStyle w:val="ToolTableText"/>
            </w:pPr>
          </w:p>
          <w:p w:rsidR="008540A4" w:rsidRPr="00EF0BC4" w:rsidRDefault="008540A4" w:rsidP="00997A58">
            <w:pPr>
              <w:pStyle w:val="ToolTableText"/>
            </w:pPr>
            <w:r w:rsidRPr="00EF0BC4">
              <w:t>Author: Patricia Cohen</w:t>
            </w:r>
          </w:p>
        </w:tc>
        <w:tc>
          <w:tcPr>
            <w:tcW w:w="4140" w:type="dxa"/>
          </w:tcPr>
          <w:p w:rsidR="008540A4" w:rsidRDefault="008540A4" w:rsidP="00997A58">
            <w:pPr>
              <w:pStyle w:val="ToolTableText"/>
            </w:pPr>
            <w:r w:rsidRPr="00EF0BC4">
              <w:t xml:space="preserve">My topic is testing for a genetic predisposition for criminal behavior. This article says that now that the human genome has been sequenced, some researchers are thinking about looking for criminal behavior in genes.  </w:t>
            </w:r>
          </w:p>
        </w:tc>
      </w:tr>
      <w:tr w:rsidR="008540A4" w:rsidTr="00997A58">
        <w:tc>
          <w:tcPr>
            <w:tcW w:w="5328" w:type="dxa"/>
          </w:tcPr>
          <w:p w:rsidR="008540A4" w:rsidRPr="00BA4018" w:rsidRDefault="008540A4" w:rsidP="00997A58">
            <w:pPr>
              <w:pStyle w:val="ToolTableText"/>
              <w:rPr>
                <w:b/>
              </w:rPr>
            </w:pPr>
            <w:r w:rsidRPr="00BA4018">
              <w:rPr>
                <w:b/>
              </w:rPr>
              <w:t xml:space="preserve">Source #2 </w:t>
            </w:r>
          </w:p>
          <w:p w:rsidR="008540A4" w:rsidRDefault="008540A4" w:rsidP="00997A58">
            <w:pPr>
              <w:pStyle w:val="ToolTableText"/>
            </w:pPr>
            <w:r>
              <w:t>Title: “Twin Mystique”</w:t>
            </w:r>
          </w:p>
          <w:p w:rsidR="008540A4" w:rsidRDefault="008540A4" w:rsidP="00997A58">
            <w:pPr>
              <w:pStyle w:val="ToolTableText"/>
            </w:pPr>
            <w:r>
              <w:t xml:space="preserve">Location: </w:t>
            </w:r>
            <w:hyperlink r:id="rId9" w:history="1">
              <w:r w:rsidR="003D10AD" w:rsidRPr="00325A5F">
                <w:rPr>
                  <w:rStyle w:val="Hyperlink"/>
                </w:rPr>
                <w:t>http://www.tampabay.com/</w:t>
              </w:r>
            </w:hyperlink>
            <w:r w:rsidR="003D10AD">
              <w:t xml:space="preserve"> </w:t>
            </w:r>
          </w:p>
          <w:p w:rsidR="008540A4" w:rsidRDefault="008540A4" w:rsidP="00997A58">
            <w:pPr>
              <w:pStyle w:val="ToolTableText"/>
            </w:pPr>
          </w:p>
          <w:p w:rsidR="008540A4" w:rsidRDefault="008540A4" w:rsidP="00997A58">
            <w:pPr>
              <w:pStyle w:val="ToolTableText"/>
            </w:pPr>
            <w:r>
              <w:t>Author: John Barry</w:t>
            </w:r>
          </w:p>
        </w:tc>
        <w:tc>
          <w:tcPr>
            <w:tcW w:w="4140" w:type="dxa"/>
          </w:tcPr>
          <w:p w:rsidR="008540A4" w:rsidRDefault="008540A4" w:rsidP="00997A58">
            <w:pPr>
              <w:pStyle w:val="ToolTableText"/>
            </w:pPr>
            <w:r>
              <w:t xml:space="preserve">Twin studies are important to this topic because they have the same genetic material, so shared behaviors show a genetic predisposition. This article describes how conjoined twins who have been separated are being studied to see if both twins display similar social behaviors and life choices after separation. </w:t>
            </w:r>
          </w:p>
        </w:tc>
      </w:tr>
      <w:tr w:rsidR="008540A4" w:rsidTr="00997A58">
        <w:tc>
          <w:tcPr>
            <w:tcW w:w="5328" w:type="dxa"/>
          </w:tcPr>
          <w:p w:rsidR="008540A4" w:rsidRPr="00BA4018" w:rsidRDefault="008540A4" w:rsidP="00997A58">
            <w:pPr>
              <w:pStyle w:val="ToolTableText"/>
              <w:rPr>
                <w:b/>
              </w:rPr>
            </w:pPr>
            <w:r w:rsidRPr="00BA4018">
              <w:rPr>
                <w:b/>
              </w:rPr>
              <w:t xml:space="preserve">Source #3 </w:t>
            </w:r>
          </w:p>
          <w:p w:rsidR="008540A4" w:rsidRDefault="008540A4" w:rsidP="00997A58">
            <w:pPr>
              <w:pStyle w:val="ToolTableText"/>
            </w:pPr>
            <w:r>
              <w:t>Title: “A Vision of the Future”</w:t>
            </w:r>
          </w:p>
          <w:p w:rsidR="008540A4" w:rsidRDefault="008540A4" w:rsidP="00997A58">
            <w:pPr>
              <w:pStyle w:val="ToolTableText"/>
            </w:pPr>
            <w:r>
              <w:t xml:space="preserve">Location: </w:t>
            </w:r>
            <w:hyperlink r:id="rId10" w:history="1">
              <w:r w:rsidR="003D10AD" w:rsidRPr="00325A5F">
                <w:rPr>
                  <w:rStyle w:val="Hyperlink"/>
                </w:rPr>
                <w:t>http://www.pbs.org/</w:t>
              </w:r>
            </w:hyperlink>
            <w:r w:rsidR="003D10AD">
              <w:t xml:space="preserve"> </w:t>
            </w:r>
          </w:p>
          <w:p w:rsidR="008540A4" w:rsidRDefault="008540A4" w:rsidP="00997A58">
            <w:pPr>
              <w:pStyle w:val="ToolTableText"/>
            </w:pPr>
          </w:p>
          <w:p w:rsidR="008540A4" w:rsidRDefault="008540A4" w:rsidP="00997A58">
            <w:pPr>
              <w:pStyle w:val="ToolTableText"/>
            </w:pPr>
            <w:r>
              <w:t xml:space="preserve">Author: Steven I. </w:t>
            </w:r>
            <w:proofErr w:type="spellStart"/>
            <w:r>
              <w:t>Friedland</w:t>
            </w:r>
            <w:proofErr w:type="spellEnd"/>
          </w:p>
        </w:tc>
        <w:tc>
          <w:tcPr>
            <w:tcW w:w="4140" w:type="dxa"/>
          </w:tcPr>
          <w:p w:rsidR="008540A4" w:rsidRDefault="008540A4" w:rsidP="00997A58">
            <w:pPr>
              <w:pStyle w:val="ToolTableText"/>
            </w:pPr>
            <w:r>
              <w:t>This article describes how some places might use DNA fingerprinting to figure out if you have a predisposition to criminal behavior. Also, genetic disorders are being considered in trials, so being able to verify a criminal tendency might be effective for the legal system.</w:t>
            </w:r>
          </w:p>
        </w:tc>
      </w:tr>
    </w:tbl>
    <w:p w:rsidR="008540A4" w:rsidRPr="002D0776" w:rsidRDefault="008540A4" w:rsidP="001626FB">
      <w:pPr>
        <w:spacing w:before="240"/>
        <w:rPr>
          <w:b/>
        </w:rPr>
      </w:pPr>
      <w:r w:rsidRPr="002D0776">
        <w:rPr>
          <w:b/>
        </w:rPr>
        <w:t xml:space="preserve">Is there enough source information to research this potential area of investigation? </w:t>
      </w:r>
    </w:p>
    <w:p w:rsidR="008540A4" w:rsidRPr="00BA4018" w:rsidRDefault="008540A4" w:rsidP="008540A4">
      <w:pPr>
        <w:spacing w:before="0" w:after="0" w:line="240" w:lineRule="auto"/>
      </w:pPr>
      <w:r w:rsidRPr="00BA4018">
        <w:t xml:space="preserve">Yes, there is. I was able to find different perspectives on this issue. </w:t>
      </w:r>
    </w:p>
    <w:p w:rsidR="00AF7D5C" w:rsidRDefault="00AF7D5C" w:rsidP="00AF7D5C">
      <w:pPr>
        <w:rPr>
          <w:sz w:val="18"/>
          <w:szCs w:val="18"/>
        </w:rPr>
      </w:pPr>
      <w:bookmarkStart w:id="0" w:name="_GoBack"/>
      <w:bookmarkEnd w:id="0"/>
    </w:p>
    <w:p w:rsidR="003D10AD" w:rsidRDefault="003D10AD" w:rsidP="00AF7D5C">
      <w:pPr>
        <w:rPr>
          <w:sz w:val="18"/>
          <w:szCs w:val="18"/>
        </w:rPr>
      </w:pPr>
    </w:p>
    <w:p w:rsidR="003D10AD" w:rsidRDefault="003D10AD" w:rsidP="00AF7D5C">
      <w:pPr>
        <w:rPr>
          <w:sz w:val="18"/>
          <w:szCs w:val="18"/>
        </w:rPr>
      </w:pPr>
    </w:p>
    <w:p w:rsidR="003D10AD" w:rsidRDefault="003D10AD" w:rsidP="00AF7D5C">
      <w:pPr>
        <w:rPr>
          <w:sz w:val="18"/>
          <w:szCs w:val="18"/>
        </w:rPr>
      </w:pPr>
    </w:p>
    <w:p w:rsidR="002041CD" w:rsidRPr="00AF7D5C" w:rsidRDefault="00AF7D5C" w:rsidP="00AF7D5C">
      <w:pPr>
        <w:rPr>
          <w:sz w:val="18"/>
          <w:szCs w:val="18"/>
        </w:rPr>
      </w:pPr>
      <w:r w:rsidRPr="00D936E9">
        <w:rPr>
          <w:sz w:val="18"/>
          <w:szCs w:val="18"/>
        </w:rPr>
        <w:t xml:space="preserve">From </w:t>
      </w:r>
      <w:r>
        <w:rPr>
          <w:sz w:val="18"/>
          <w:szCs w:val="18"/>
        </w:rPr>
        <w:t>Pre-Search Tool</w:t>
      </w:r>
      <w:r w:rsidRPr="00D936E9">
        <w:rPr>
          <w:sz w:val="18"/>
          <w:szCs w:val="18"/>
        </w:rPr>
        <w:t xml:space="preserve"> by Odell Education, www.odelleducation.com. Copyright (201</w:t>
      </w:r>
      <w:r>
        <w:rPr>
          <w:sz w:val="18"/>
          <w:szCs w:val="18"/>
        </w:rPr>
        <w:t>3</w:t>
      </w:r>
      <w:r w:rsidRPr="00D936E9">
        <w:rPr>
          <w:sz w:val="18"/>
          <w:szCs w:val="18"/>
        </w:rPr>
        <w:t>) by Odell Education. Adapted with permission under an Attribution-</w:t>
      </w:r>
      <w:proofErr w:type="spellStart"/>
      <w:r w:rsidRPr="00D936E9">
        <w:rPr>
          <w:sz w:val="18"/>
          <w:szCs w:val="18"/>
        </w:rPr>
        <w:t>NonCommercial</w:t>
      </w:r>
      <w:proofErr w:type="spellEnd"/>
      <w:r w:rsidRPr="00D936E9">
        <w:rPr>
          <w:sz w:val="18"/>
          <w:szCs w:val="18"/>
        </w:rPr>
        <w:t xml:space="preserve"> 3.0 </w:t>
      </w:r>
      <w:proofErr w:type="spellStart"/>
      <w:r w:rsidRPr="00D936E9">
        <w:rPr>
          <w:sz w:val="18"/>
          <w:szCs w:val="18"/>
        </w:rPr>
        <w:t>Unported</w:t>
      </w:r>
      <w:proofErr w:type="spellEnd"/>
      <w:r w:rsidRPr="00D936E9">
        <w:rPr>
          <w:sz w:val="18"/>
          <w:szCs w:val="18"/>
        </w:rPr>
        <w:t xml:space="preserve"> license: </w:t>
      </w:r>
      <w:hyperlink r:id="rId11" w:history="1">
        <w:r w:rsidRPr="00D936E9">
          <w:rPr>
            <w:rStyle w:val="Hyperlink"/>
            <w:sz w:val="18"/>
            <w:szCs w:val="18"/>
          </w:rPr>
          <w:t>http://creativecommons.org/licenses/by-nc/3.0/</w:t>
        </w:r>
      </w:hyperlink>
      <w:r w:rsidRPr="00D936E9">
        <w:rPr>
          <w:sz w:val="18"/>
          <w:szCs w:val="18"/>
        </w:rPr>
        <w:t>.</w:t>
      </w:r>
      <w:r>
        <w:t xml:space="preserve"> </w:t>
      </w:r>
    </w:p>
    <w:sectPr w:rsidR="002041CD" w:rsidRPr="00AF7D5C" w:rsidSect="004713C2">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AE" w:rsidRDefault="009361AE" w:rsidP="00E946A0">
      <w:r>
        <w:separator/>
      </w:r>
    </w:p>
    <w:p w:rsidR="009361AE" w:rsidRDefault="009361AE" w:rsidP="00E946A0"/>
  </w:endnote>
  <w:endnote w:type="continuationSeparator" w:id="0">
    <w:p w:rsidR="009361AE" w:rsidRDefault="009361AE" w:rsidP="00E946A0">
      <w:r>
        <w:continuationSeparator/>
      </w:r>
    </w:p>
    <w:p w:rsidR="009361AE" w:rsidRDefault="009361AE"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2426DE57-301A-4BB8-BCBF-E69E1331D2E8}"/>
  </w:font>
  <w:font w:name="Webdings">
    <w:panose1 w:val="05030102010509060703"/>
    <w:charset w:val="02"/>
    <w:family w:val="roman"/>
    <w:pitch w:val="variable"/>
    <w:sig w:usb0="00000000" w:usb1="10000000" w:usb2="00000000" w:usb3="00000000" w:csb0="80000000" w:csb1="00000000"/>
    <w:embedRegular r:id="rId2" w:subsetted="1" w:fontKey="{3548AD3B-3350-4584-A999-DC5E5725DFB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4C" w:rsidRDefault="002A6A86" w:rsidP="00E946A0">
    <w:pPr>
      <w:pStyle w:val="Footer"/>
      <w:rPr>
        <w:rStyle w:val="PageNumber"/>
        <w:rFonts w:ascii="Calibri" w:hAnsi="Calibri"/>
        <w:sz w:val="22"/>
      </w:rPr>
    </w:pPr>
    <w:r>
      <w:rPr>
        <w:rStyle w:val="PageNumber"/>
      </w:rPr>
      <w:fldChar w:fldCharType="begin"/>
    </w:r>
    <w:r w:rsidR="00F8724C">
      <w:rPr>
        <w:rStyle w:val="PageNumber"/>
      </w:rPr>
      <w:instrText xml:space="preserve">PAGE  </w:instrText>
    </w:r>
    <w:r>
      <w:rPr>
        <w:rStyle w:val="PageNumber"/>
      </w:rPr>
      <w:fldChar w:fldCharType="end"/>
    </w:r>
  </w:p>
  <w:p w:rsidR="00F8724C" w:rsidRDefault="00F8724C" w:rsidP="00E946A0">
    <w:pPr>
      <w:pStyle w:val="Footer"/>
    </w:pPr>
  </w:p>
  <w:p w:rsidR="00F8724C" w:rsidRDefault="00F8724C" w:rsidP="00E946A0"/>
  <w:p w:rsidR="00F8724C" w:rsidRDefault="00F8724C"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4C" w:rsidRPr="00563CB8" w:rsidRDefault="00F8724C"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F8724C">
      <w:trPr>
        <w:trHeight w:val="705"/>
      </w:trPr>
      <w:tc>
        <w:tcPr>
          <w:tcW w:w="4609" w:type="dxa"/>
          <w:shd w:val="clear" w:color="auto" w:fill="auto"/>
          <w:vAlign w:val="center"/>
        </w:tcPr>
        <w:p w:rsidR="00F8724C" w:rsidRPr="002E4C92" w:rsidRDefault="00F8724C" w:rsidP="004F2969">
          <w:pPr>
            <w:pStyle w:val="FooterText"/>
          </w:pPr>
          <w:r w:rsidRPr="002E4C92">
            <w:t>File:</w:t>
          </w:r>
          <w:r w:rsidRPr="0039525B">
            <w:rPr>
              <w:b w:val="0"/>
            </w:rPr>
            <w:t xml:space="preserve"> </w:t>
          </w:r>
          <w:r>
            <w:rPr>
              <w:b w:val="0"/>
            </w:rPr>
            <w:t>10.3.1 Lesson 9</w:t>
          </w:r>
          <w:r w:rsidRPr="002E4C92">
            <w:t xml:space="preserve"> Date:</w:t>
          </w:r>
          <w:r>
            <w:rPr>
              <w:b w:val="0"/>
            </w:rPr>
            <w:t xml:space="preserve"> 4/1</w:t>
          </w:r>
          <w:r w:rsidR="006E20AC">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F8724C" w:rsidRPr="0039525B" w:rsidRDefault="00F8724C"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F8724C" w:rsidRPr="0039525B" w:rsidRDefault="00F8724C"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F8724C" w:rsidRPr="002E4C92" w:rsidRDefault="002A6A86" w:rsidP="004F2969">
          <w:pPr>
            <w:pStyle w:val="FooterText"/>
          </w:pPr>
          <w:hyperlink r:id="rId1" w:history="1">
            <w:r w:rsidR="00F8724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8724C" w:rsidRPr="002E4C92" w:rsidRDefault="002A6A8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8724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B77E8">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rsidR="00F8724C" w:rsidRPr="002E4C92" w:rsidRDefault="00F8724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8724C" w:rsidRPr="0039525B" w:rsidRDefault="00F8724C"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AE" w:rsidRDefault="009361AE" w:rsidP="00E946A0">
      <w:r>
        <w:separator/>
      </w:r>
    </w:p>
    <w:p w:rsidR="009361AE" w:rsidRDefault="009361AE" w:rsidP="00E946A0"/>
  </w:footnote>
  <w:footnote w:type="continuationSeparator" w:id="0">
    <w:p w:rsidR="009361AE" w:rsidRDefault="009361AE" w:rsidP="00E946A0">
      <w:r>
        <w:continuationSeparator/>
      </w:r>
    </w:p>
    <w:p w:rsidR="009361AE" w:rsidRDefault="009361AE"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F8724C" w:rsidRPr="00563CB8">
      <w:tc>
        <w:tcPr>
          <w:tcW w:w="3708" w:type="dxa"/>
          <w:shd w:val="clear" w:color="auto" w:fill="auto"/>
        </w:tcPr>
        <w:p w:rsidR="00F8724C" w:rsidRPr="00563CB8" w:rsidRDefault="00F8724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F8724C" w:rsidRPr="00563CB8" w:rsidRDefault="00F8724C" w:rsidP="00E946A0">
          <w:pPr>
            <w:jc w:val="center"/>
          </w:pPr>
          <w:r w:rsidRPr="00563CB8">
            <w:t>D R A F T</w:t>
          </w:r>
        </w:p>
      </w:tc>
      <w:tc>
        <w:tcPr>
          <w:tcW w:w="3438" w:type="dxa"/>
          <w:shd w:val="clear" w:color="auto" w:fill="auto"/>
        </w:tcPr>
        <w:p w:rsidR="00F8724C" w:rsidRPr="00E946A0" w:rsidRDefault="00F8724C" w:rsidP="00306F27">
          <w:pPr>
            <w:pStyle w:val="PageHeader"/>
            <w:jc w:val="right"/>
            <w:rPr>
              <w:b w:val="0"/>
            </w:rPr>
          </w:pPr>
          <w:r>
            <w:rPr>
              <w:b w:val="0"/>
            </w:rPr>
            <w:t>Grade 10 • Module 3</w:t>
          </w:r>
          <w:r w:rsidRPr="00E946A0">
            <w:rPr>
              <w:b w:val="0"/>
            </w:rPr>
            <w:t xml:space="preserve"> • Unit </w:t>
          </w:r>
          <w:r>
            <w:rPr>
              <w:b w:val="0"/>
            </w:rPr>
            <w:t>1 • Lesson 9</w:t>
          </w:r>
        </w:p>
      </w:tc>
    </w:tr>
  </w:tbl>
  <w:p w:rsidR="00F8724C" w:rsidRDefault="00F8724C"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3F7361"/>
    <w:multiLevelType w:val="hybridMultilevel"/>
    <w:tmpl w:val="687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A6C18"/>
    <w:multiLevelType w:val="hybridMultilevel"/>
    <w:tmpl w:val="4F2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63E49"/>
    <w:multiLevelType w:val="hybridMultilevel"/>
    <w:tmpl w:val="87AE8536"/>
    <w:lvl w:ilvl="0" w:tplc="6D503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059EB"/>
    <w:multiLevelType w:val="hybridMultilevel"/>
    <w:tmpl w:val="8A1A7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525AAE26"/>
    <w:lvl w:ilvl="0" w:tplc="8AFC653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31"/>
  </w:num>
  <w:num w:numId="13">
    <w:abstractNumId w:val="7"/>
    <w:lvlOverride w:ilvl="0">
      <w:startOverride w:val="1"/>
    </w:lvlOverride>
  </w:num>
  <w:num w:numId="14">
    <w:abstractNumId w:val="6"/>
  </w:num>
  <w:num w:numId="15">
    <w:abstractNumId w:val="3"/>
  </w:num>
  <w:num w:numId="16">
    <w:abstractNumId w:val="26"/>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8"/>
  </w:num>
  <w:num w:numId="24">
    <w:abstractNumId w:val="5"/>
  </w:num>
  <w:num w:numId="25">
    <w:abstractNumId w:val="25"/>
  </w:num>
  <w:num w:numId="26">
    <w:abstractNumId w:val="15"/>
  </w:num>
  <w:num w:numId="27">
    <w:abstractNumId w:val="2"/>
    <w:lvlOverride w:ilvl="0">
      <w:startOverride w:val="1"/>
    </w:lvlOverride>
  </w:num>
  <w:num w:numId="28">
    <w:abstractNumId w:val="19"/>
  </w:num>
  <w:num w:numId="29">
    <w:abstractNumId w:val="10"/>
  </w:num>
  <w:num w:numId="30">
    <w:abstractNumId w:val="16"/>
  </w:num>
  <w:num w:numId="31">
    <w:abstractNumId w:val="30"/>
  </w:num>
  <w:num w:numId="32">
    <w:abstractNumId w:val="20"/>
  </w:num>
  <w:num w:numId="33">
    <w:abstractNumId w:val="27"/>
  </w:num>
  <w:num w:numId="34">
    <w:abstractNumId w:val="8"/>
    <w:lvlOverride w:ilvl="0">
      <w:startOverride w:val="1"/>
    </w:lvlOverride>
  </w:num>
  <w:num w:numId="35">
    <w:abstractNumId w:val="24"/>
  </w:num>
  <w:num w:numId="36">
    <w:abstractNumId w:val="9"/>
  </w:num>
  <w:num w:numId="37">
    <w:abstractNumId w:val="12"/>
  </w:num>
  <w:num w:numId="38">
    <w:abstractNumId w:val="29"/>
  </w:num>
  <w:num w:numId="39">
    <w:abstractNumId w:val="1"/>
  </w:num>
  <w:num w:numId="40">
    <w:abstractNumId w:val="21"/>
  </w:num>
  <w:num w:numId="41">
    <w:abstractNumId w:val="29"/>
    <w:lvlOverride w:ilvl="0">
      <w:startOverride w:val="1"/>
    </w:lvlOverride>
  </w:num>
  <w:num w:numId="42">
    <w:abstractNumId w:val="29"/>
  </w:num>
  <w:num w:numId="43">
    <w:abstractNumId w:val="29"/>
    <w:lvlOverride w:ilvl="0">
      <w:startOverride w:val="4"/>
    </w:lvlOverride>
  </w:num>
  <w:num w:numId="44">
    <w:abstractNumId w:val="22"/>
  </w:num>
  <w:num w:numId="45">
    <w:abstractNumId w:val="29"/>
    <w:lvlOverride w:ilvl="0">
      <w:startOverride w:val="1"/>
    </w:lvlOverride>
  </w:num>
  <w:num w:numId="46">
    <w:abstractNumId w:val="29"/>
    <w:lvlOverride w:ilvl="0">
      <w:startOverride w:val="1"/>
    </w:lvlOverride>
  </w:num>
  <w:num w:numId="47">
    <w:abstractNumId w:val="29"/>
    <w:lvlOverride w:ilvl="0">
      <w:startOverride w:val="3"/>
    </w:lvlOverride>
  </w:num>
  <w:num w:numId="48">
    <w:abstractNumId w:val="23"/>
  </w:num>
  <w:num w:numId="49">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05DD"/>
    <w:rsid w:val="00011E99"/>
    <w:rsid w:val="000134DA"/>
    <w:rsid w:val="000137C5"/>
    <w:rsid w:val="000147E4"/>
    <w:rsid w:val="00014D5D"/>
    <w:rsid w:val="00020527"/>
    <w:rsid w:val="00021589"/>
    <w:rsid w:val="0002335F"/>
    <w:rsid w:val="00033D85"/>
    <w:rsid w:val="00034778"/>
    <w:rsid w:val="0004513C"/>
    <w:rsid w:val="0004616D"/>
    <w:rsid w:val="00053088"/>
    <w:rsid w:val="00062291"/>
    <w:rsid w:val="0006233C"/>
    <w:rsid w:val="00064850"/>
    <w:rsid w:val="00066123"/>
    <w:rsid w:val="00066B17"/>
    <w:rsid w:val="0006776C"/>
    <w:rsid w:val="000707F3"/>
    <w:rsid w:val="00071936"/>
    <w:rsid w:val="00072749"/>
    <w:rsid w:val="0007426F"/>
    <w:rsid w:val="000742AA"/>
    <w:rsid w:val="00075649"/>
    <w:rsid w:val="00077E42"/>
    <w:rsid w:val="00080A8A"/>
    <w:rsid w:val="000825EE"/>
    <w:rsid w:val="000848B2"/>
    <w:rsid w:val="0008546F"/>
    <w:rsid w:val="00086A06"/>
    <w:rsid w:val="00090200"/>
    <w:rsid w:val="00092730"/>
    <w:rsid w:val="00092C82"/>
    <w:rsid w:val="00093CAA"/>
    <w:rsid w:val="00095BBA"/>
    <w:rsid w:val="00096A06"/>
    <w:rsid w:val="000A1206"/>
    <w:rsid w:val="000A26A7"/>
    <w:rsid w:val="000A3640"/>
    <w:rsid w:val="000A4151"/>
    <w:rsid w:val="000B1882"/>
    <w:rsid w:val="000B2D56"/>
    <w:rsid w:val="000B3015"/>
    <w:rsid w:val="000B3836"/>
    <w:rsid w:val="000B44AB"/>
    <w:rsid w:val="000B4815"/>
    <w:rsid w:val="000B6D42"/>
    <w:rsid w:val="000B6EA7"/>
    <w:rsid w:val="000C0112"/>
    <w:rsid w:val="000C0821"/>
    <w:rsid w:val="000C169A"/>
    <w:rsid w:val="000C4439"/>
    <w:rsid w:val="000C4813"/>
    <w:rsid w:val="000C5656"/>
    <w:rsid w:val="000C5893"/>
    <w:rsid w:val="000C7750"/>
    <w:rsid w:val="000D0F3D"/>
    <w:rsid w:val="000D0FAE"/>
    <w:rsid w:val="000E0B69"/>
    <w:rsid w:val="000E191A"/>
    <w:rsid w:val="000E4DBA"/>
    <w:rsid w:val="000E7A73"/>
    <w:rsid w:val="000F192C"/>
    <w:rsid w:val="000F2414"/>
    <w:rsid w:val="000F3089"/>
    <w:rsid w:val="000F359F"/>
    <w:rsid w:val="000F5C83"/>
    <w:rsid w:val="000F7D35"/>
    <w:rsid w:val="000F7F56"/>
    <w:rsid w:val="0010203C"/>
    <w:rsid w:val="0010235F"/>
    <w:rsid w:val="0010591D"/>
    <w:rsid w:val="00110A04"/>
    <w:rsid w:val="00111A39"/>
    <w:rsid w:val="00112842"/>
    <w:rsid w:val="00113501"/>
    <w:rsid w:val="001159C2"/>
    <w:rsid w:val="00117F7A"/>
    <w:rsid w:val="0012119C"/>
    <w:rsid w:val="001215F2"/>
    <w:rsid w:val="00121C27"/>
    <w:rsid w:val="00125144"/>
    <w:rsid w:val="001258FD"/>
    <w:rsid w:val="00133528"/>
    <w:rsid w:val="001352AE"/>
    <w:rsid w:val="001362D4"/>
    <w:rsid w:val="001379B0"/>
    <w:rsid w:val="00140413"/>
    <w:rsid w:val="001509EC"/>
    <w:rsid w:val="0015118C"/>
    <w:rsid w:val="001554A7"/>
    <w:rsid w:val="00156124"/>
    <w:rsid w:val="001626FB"/>
    <w:rsid w:val="001657A6"/>
    <w:rsid w:val="00167E7F"/>
    <w:rsid w:val="001708C2"/>
    <w:rsid w:val="0017112F"/>
    <w:rsid w:val="001723D5"/>
    <w:rsid w:val="00175B00"/>
    <w:rsid w:val="00181CB5"/>
    <w:rsid w:val="0018630D"/>
    <w:rsid w:val="00186355"/>
    <w:rsid w:val="001864E6"/>
    <w:rsid w:val="00186FDA"/>
    <w:rsid w:val="0018762C"/>
    <w:rsid w:val="001925A5"/>
    <w:rsid w:val="00192D2B"/>
    <w:rsid w:val="001945FA"/>
    <w:rsid w:val="00194F1D"/>
    <w:rsid w:val="001A461C"/>
    <w:rsid w:val="001A4B4B"/>
    <w:rsid w:val="001A5133"/>
    <w:rsid w:val="001B0794"/>
    <w:rsid w:val="001B1487"/>
    <w:rsid w:val="001B3063"/>
    <w:rsid w:val="001B3B3E"/>
    <w:rsid w:val="001C1C99"/>
    <w:rsid w:val="001C35E3"/>
    <w:rsid w:val="001C5188"/>
    <w:rsid w:val="001C6B70"/>
    <w:rsid w:val="001D047B"/>
    <w:rsid w:val="001D0518"/>
    <w:rsid w:val="001D1AC3"/>
    <w:rsid w:val="001D1DA8"/>
    <w:rsid w:val="001D641A"/>
    <w:rsid w:val="001D703D"/>
    <w:rsid w:val="001E189E"/>
    <w:rsid w:val="001F0991"/>
    <w:rsid w:val="001F1DFA"/>
    <w:rsid w:val="001F6C4F"/>
    <w:rsid w:val="002009F7"/>
    <w:rsid w:val="0020138A"/>
    <w:rsid w:val="00201FAD"/>
    <w:rsid w:val="002041CD"/>
    <w:rsid w:val="00207C8B"/>
    <w:rsid w:val="00215D56"/>
    <w:rsid w:val="00220123"/>
    <w:rsid w:val="00224590"/>
    <w:rsid w:val="0022760C"/>
    <w:rsid w:val="0023049A"/>
    <w:rsid w:val="002306FF"/>
    <w:rsid w:val="00231919"/>
    <w:rsid w:val="002339A4"/>
    <w:rsid w:val="002343C5"/>
    <w:rsid w:val="00234DC0"/>
    <w:rsid w:val="00240FF7"/>
    <w:rsid w:val="0024557C"/>
    <w:rsid w:val="00245B86"/>
    <w:rsid w:val="00250F91"/>
    <w:rsid w:val="002516D4"/>
    <w:rsid w:val="00251A7C"/>
    <w:rsid w:val="00251DAB"/>
    <w:rsid w:val="00252BA0"/>
    <w:rsid w:val="00252D78"/>
    <w:rsid w:val="002544BC"/>
    <w:rsid w:val="002619B1"/>
    <w:rsid w:val="002635F4"/>
    <w:rsid w:val="00263AF5"/>
    <w:rsid w:val="002647E0"/>
    <w:rsid w:val="002661A8"/>
    <w:rsid w:val="0027218A"/>
    <w:rsid w:val="002748DB"/>
    <w:rsid w:val="00274FEB"/>
    <w:rsid w:val="00276DB9"/>
    <w:rsid w:val="00277530"/>
    <w:rsid w:val="0028184C"/>
    <w:rsid w:val="00284B9E"/>
    <w:rsid w:val="00284FC0"/>
    <w:rsid w:val="00287D8F"/>
    <w:rsid w:val="00290F88"/>
    <w:rsid w:val="0029527C"/>
    <w:rsid w:val="00297DC5"/>
    <w:rsid w:val="002A21DE"/>
    <w:rsid w:val="002A47AD"/>
    <w:rsid w:val="002A5337"/>
    <w:rsid w:val="002A6A86"/>
    <w:rsid w:val="002B5745"/>
    <w:rsid w:val="002B5C57"/>
    <w:rsid w:val="002B5FDF"/>
    <w:rsid w:val="002C0245"/>
    <w:rsid w:val="002C02FB"/>
    <w:rsid w:val="002C3DE1"/>
    <w:rsid w:val="002C49A6"/>
    <w:rsid w:val="002C5F0D"/>
    <w:rsid w:val="002D1FD8"/>
    <w:rsid w:val="002D3014"/>
    <w:rsid w:val="002D5EB9"/>
    <w:rsid w:val="002D632F"/>
    <w:rsid w:val="002E27AE"/>
    <w:rsid w:val="002E4C5C"/>
    <w:rsid w:val="002E4C92"/>
    <w:rsid w:val="002F03D2"/>
    <w:rsid w:val="002F0C1C"/>
    <w:rsid w:val="002F3D65"/>
    <w:rsid w:val="002F6684"/>
    <w:rsid w:val="0030637B"/>
    <w:rsid w:val="003067BF"/>
    <w:rsid w:val="00306F27"/>
    <w:rsid w:val="00306FF1"/>
    <w:rsid w:val="00311E81"/>
    <w:rsid w:val="00317306"/>
    <w:rsid w:val="003201AC"/>
    <w:rsid w:val="0032239A"/>
    <w:rsid w:val="00325797"/>
    <w:rsid w:val="00335168"/>
    <w:rsid w:val="00336259"/>
    <w:rsid w:val="003368BF"/>
    <w:rsid w:val="003440A9"/>
    <w:rsid w:val="00347761"/>
    <w:rsid w:val="00347DD9"/>
    <w:rsid w:val="00350B03"/>
    <w:rsid w:val="00351804"/>
    <w:rsid w:val="00351F18"/>
    <w:rsid w:val="00352361"/>
    <w:rsid w:val="00353081"/>
    <w:rsid w:val="00353947"/>
    <w:rsid w:val="00355B9E"/>
    <w:rsid w:val="00356656"/>
    <w:rsid w:val="00360DBF"/>
    <w:rsid w:val="00362010"/>
    <w:rsid w:val="00363C07"/>
    <w:rsid w:val="00363E64"/>
    <w:rsid w:val="00364CD8"/>
    <w:rsid w:val="003700AB"/>
    <w:rsid w:val="00370C53"/>
    <w:rsid w:val="00372441"/>
    <w:rsid w:val="0037258B"/>
    <w:rsid w:val="00372C64"/>
    <w:rsid w:val="00374C35"/>
    <w:rsid w:val="00376DBB"/>
    <w:rsid w:val="003822E1"/>
    <w:rsid w:val="003826B0"/>
    <w:rsid w:val="0038382F"/>
    <w:rsid w:val="00383A2A"/>
    <w:rsid w:val="003851B2"/>
    <w:rsid w:val="003854D3"/>
    <w:rsid w:val="00385832"/>
    <w:rsid w:val="0038635E"/>
    <w:rsid w:val="003903EE"/>
    <w:rsid w:val="003908D2"/>
    <w:rsid w:val="003924D0"/>
    <w:rsid w:val="00394186"/>
    <w:rsid w:val="0039525B"/>
    <w:rsid w:val="003A3AB0"/>
    <w:rsid w:val="003A6785"/>
    <w:rsid w:val="003B3DB9"/>
    <w:rsid w:val="003B7708"/>
    <w:rsid w:val="003C2022"/>
    <w:rsid w:val="003C24AD"/>
    <w:rsid w:val="003C55E6"/>
    <w:rsid w:val="003D10AD"/>
    <w:rsid w:val="003D12CD"/>
    <w:rsid w:val="003D2601"/>
    <w:rsid w:val="003D27E3"/>
    <w:rsid w:val="003D28E6"/>
    <w:rsid w:val="003D7469"/>
    <w:rsid w:val="003D77CB"/>
    <w:rsid w:val="003E2C04"/>
    <w:rsid w:val="003E3757"/>
    <w:rsid w:val="003E4EB9"/>
    <w:rsid w:val="003E693A"/>
    <w:rsid w:val="003F2833"/>
    <w:rsid w:val="003F3D65"/>
    <w:rsid w:val="00404BDB"/>
    <w:rsid w:val="00405198"/>
    <w:rsid w:val="00410488"/>
    <w:rsid w:val="00412A7D"/>
    <w:rsid w:val="004179FD"/>
    <w:rsid w:val="00421157"/>
    <w:rsid w:val="0042474E"/>
    <w:rsid w:val="00425E32"/>
    <w:rsid w:val="00432D7F"/>
    <w:rsid w:val="00436909"/>
    <w:rsid w:val="00437FD0"/>
    <w:rsid w:val="004402AC"/>
    <w:rsid w:val="004403EE"/>
    <w:rsid w:val="00440948"/>
    <w:rsid w:val="00443647"/>
    <w:rsid w:val="004452D5"/>
    <w:rsid w:val="00446AFD"/>
    <w:rsid w:val="004528AF"/>
    <w:rsid w:val="004536D7"/>
    <w:rsid w:val="00453E59"/>
    <w:rsid w:val="00455FC4"/>
    <w:rsid w:val="00456F88"/>
    <w:rsid w:val="0045725F"/>
    <w:rsid w:val="00457F98"/>
    <w:rsid w:val="0046204A"/>
    <w:rsid w:val="00470E93"/>
    <w:rsid w:val="004713C2"/>
    <w:rsid w:val="00472F34"/>
    <w:rsid w:val="0047469B"/>
    <w:rsid w:val="00477B3D"/>
    <w:rsid w:val="00482C15"/>
    <w:rsid w:val="004838D9"/>
    <w:rsid w:val="00484822"/>
    <w:rsid w:val="00485D55"/>
    <w:rsid w:val="00486DD6"/>
    <w:rsid w:val="0049409E"/>
    <w:rsid w:val="004A3F30"/>
    <w:rsid w:val="004A58F1"/>
    <w:rsid w:val="004B22B8"/>
    <w:rsid w:val="004B3E41"/>
    <w:rsid w:val="004B552B"/>
    <w:rsid w:val="004B77E8"/>
    <w:rsid w:val="004B7B6B"/>
    <w:rsid w:val="004B7C07"/>
    <w:rsid w:val="004C3C91"/>
    <w:rsid w:val="004C602D"/>
    <w:rsid w:val="004C6CD8"/>
    <w:rsid w:val="004D06E3"/>
    <w:rsid w:val="004D2C0B"/>
    <w:rsid w:val="004D3DE7"/>
    <w:rsid w:val="004D487C"/>
    <w:rsid w:val="004D5473"/>
    <w:rsid w:val="004D7029"/>
    <w:rsid w:val="004E1B0E"/>
    <w:rsid w:val="004E27B6"/>
    <w:rsid w:val="004E5551"/>
    <w:rsid w:val="004F0E6B"/>
    <w:rsid w:val="004F2363"/>
    <w:rsid w:val="004F2969"/>
    <w:rsid w:val="004F353F"/>
    <w:rsid w:val="004F62CF"/>
    <w:rsid w:val="00502FAD"/>
    <w:rsid w:val="00507DF5"/>
    <w:rsid w:val="00510582"/>
    <w:rsid w:val="005121D2"/>
    <w:rsid w:val="00513C73"/>
    <w:rsid w:val="00513E84"/>
    <w:rsid w:val="00515A74"/>
    <w:rsid w:val="00517918"/>
    <w:rsid w:val="0052385B"/>
    <w:rsid w:val="0052413A"/>
    <w:rsid w:val="00524E4D"/>
    <w:rsid w:val="0052748A"/>
    <w:rsid w:val="0052769A"/>
    <w:rsid w:val="00527DE8"/>
    <w:rsid w:val="00527F3B"/>
    <w:rsid w:val="005324A5"/>
    <w:rsid w:val="00537A47"/>
    <w:rsid w:val="00541A6A"/>
    <w:rsid w:val="00542523"/>
    <w:rsid w:val="00545E2D"/>
    <w:rsid w:val="00546D71"/>
    <w:rsid w:val="0054791C"/>
    <w:rsid w:val="0055173D"/>
    <w:rsid w:val="0055340D"/>
    <w:rsid w:val="0055385D"/>
    <w:rsid w:val="00560B25"/>
    <w:rsid w:val="00561640"/>
    <w:rsid w:val="00561F61"/>
    <w:rsid w:val="00562BA9"/>
    <w:rsid w:val="00563CB8"/>
    <w:rsid w:val="00563DC9"/>
    <w:rsid w:val="005641F5"/>
    <w:rsid w:val="00565871"/>
    <w:rsid w:val="00567E85"/>
    <w:rsid w:val="00570901"/>
    <w:rsid w:val="00572A92"/>
    <w:rsid w:val="00575D2C"/>
    <w:rsid w:val="00576E4A"/>
    <w:rsid w:val="00581401"/>
    <w:rsid w:val="00581434"/>
    <w:rsid w:val="005837C5"/>
    <w:rsid w:val="00583FF7"/>
    <w:rsid w:val="00585771"/>
    <w:rsid w:val="00585A0D"/>
    <w:rsid w:val="005875D8"/>
    <w:rsid w:val="00592D68"/>
    <w:rsid w:val="00593697"/>
    <w:rsid w:val="00595905"/>
    <w:rsid w:val="005960E3"/>
    <w:rsid w:val="0059687E"/>
    <w:rsid w:val="005969FA"/>
    <w:rsid w:val="0059734F"/>
    <w:rsid w:val="005A151B"/>
    <w:rsid w:val="005A3D33"/>
    <w:rsid w:val="005A7968"/>
    <w:rsid w:val="005B22B2"/>
    <w:rsid w:val="005B2491"/>
    <w:rsid w:val="005B3D78"/>
    <w:rsid w:val="005B4968"/>
    <w:rsid w:val="005B5BD6"/>
    <w:rsid w:val="005B743A"/>
    <w:rsid w:val="005B7E6E"/>
    <w:rsid w:val="005C1095"/>
    <w:rsid w:val="005C4572"/>
    <w:rsid w:val="005C7B5F"/>
    <w:rsid w:val="005D7C72"/>
    <w:rsid w:val="005E02FE"/>
    <w:rsid w:val="005E1E5E"/>
    <w:rsid w:val="005E2E87"/>
    <w:rsid w:val="005E51CB"/>
    <w:rsid w:val="005E7753"/>
    <w:rsid w:val="005F147C"/>
    <w:rsid w:val="005F2889"/>
    <w:rsid w:val="005F5D35"/>
    <w:rsid w:val="005F657A"/>
    <w:rsid w:val="00603970"/>
    <w:rsid w:val="006044CD"/>
    <w:rsid w:val="00606802"/>
    <w:rsid w:val="00607856"/>
    <w:rsid w:val="006124D5"/>
    <w:rsid w:val="006218F1"/>
    <w:rsid w:val="0062277B"/>
    <w:rsid w:val="006248E5"/>
    <w:rsid w:val="006251E6"/>
    <w:rsid w:val="006257B4"/>
    <w:rsid w:val="006261E1"/>
    <w:rsid w:val="006266A4"/>
    <w:rsid w:val="00626E4A"/>
    <w:rsid w:val="0063653C"/>
    <w:rsid w:val="006375AF"/>
    <w:rsid w:val="00641DC5"/>
    <w:rsid w:val="00643550"/>
    <w:rsid w:val="00644540"/>
    <w:rsid w:val="00645C3F"/>
    <w:rsid w:val="00646088"/>
    <w:rsid w:val="00651092"/>
    <w:rsid w:val="00653ABB"/>
    <w:rsid w:val="0066211A"/>
    <w:rsid w:val="00663A00"/>
    <w:rsid w:val="006661AE"/>
    <w:rsid w:val="006667A3"/>
    <w:rsid w:val="00672079"/>
    <w:rsid w:val="0067634C"/>
    <w:rsid w:val="0068018C"/>
    <w:rsid w:val="0068453D"/>
    <w:rsid w:val="006846B6"/>
    <w:rsid w:val="00687E6E"/>
    <w:rsid w:val="00690CB4"/>
    <w:rsid w:val="0069247E"/>
    <w:rsid w:val="00696173"/>
    <w:rsid w:val="006A09D6"/>
    <w:rsid w:val="006A3594"/>
    <w:rsid w:val="006B0965"/>
    <w:rsid w:val="006B61DD"/>
    <w:rsid w:val="006B7CCB"/>
    <w:rsid w:val="006C5961"/>
    <w:rsid w:val="006D1A22"/>
    <w:rsid w:val="006D5208"/>
    <w:rsid w:val="006D7957"/>
    <w:rsid w:val="006E20AC"/>
    <w:rsid w:val="006E4C84"/>
    <w:rsid w:val="006E4E2F"/>
    <w:rsid w:val="006E7A67"/>
    <w:rsid w:val="006E7D3C"/>
    <w:rsid w:val="006F2420"/>
    <w:rsid w:val="006F3BD7"/>
    <w:rsid w:val="006F5130"/>
    <w:rsid w:val="006F5856"/>
    <w:rsid w:val="006F7174"/>
    <w:rsid w:val="00706F7A"/>
    <w:rsid w:val="00707670"/>
    <w:rsid w:val="0071568E"/>
    <w:rsid w:val="0072440D"/>
    <w:rsid w:val="00724760"/>
    <w:rsid w:val="00730123"/>
    <w:rsid w:val="00730A7E"/>
    <w:rsid w:val="0073192F"/>
    <w:rsid w:val="00733C74"/>
    <w:rsid w:val="00737EE7"/>
    <w:rsid w:val="00741955"/>
    <w:rsid w:val="00742EB6"/>
    <w:rsid w:val="00746AB9"/>
    <w:rsid w:val="00760D2C"/>
    <w:rsid w:val="007623AE"/>
    <w:rsid w:val="0076269D"/>
    <w:rsid w:val="00766336"/>
    <w:rsid w:val="0076658E"/>
    <w:rsid w:val="00767641"/>
    <w:rsid w:val="007708EA"/>
    <w:rsid w:val="00772135"/>
    <w:rsid w:val="00772FCA"/>
    <w:rsid w:val="0077398D"/>
    <w:rsid w:val="007749CF"/>
    <w:rsid w:val="00793B33"/>
    <w:rsid w:val="00796D57"/>
    <w:rsid w:val="00797281"/>
    <w:rsid w:val="007A36DD"/>
    <w:rsid w:val="007B0EDD"/>
    <w:rsid w:val="007B435F"/>
    <w:rsid w:val="007B730B"/>
    <w:rsid w:val="007B764B"/>
    <w:rsid w:val="007C14C1"/>
    <w:rsid w:val="007C5EDC"/>
    <w:rsid w:val="007C7DB0"/>
    <w:rsid w:val="007D1715"/>
    <w:rsid w:val="007D2F12"/>
    <w:rsid w:val="007E2CE9"/>
    <w:rsid w:val="007E463A"/>
    <w:rsid w:val="007E4E86"/>
    <w:rsid w:val="007E7665"/>
    <w:rsid w:val="007E7CE1"/>
    <w:rsid w:val="007F76FC"/>
    <w:rsid w:val="00804C62"/>
    <w:rsid w:val="00807C6B"/>
    <w:rsid w:val="00810F22"/>
    <w:rsid w:val="008139A0"/>
    <w:rsid w:val="008151E5"/>
    <w:rsid w:val="00820EF9"/>
    <w:rsid w:val="0082210F"/>
    <w:rsid w:val="0082270E"/>
    <w:rsid w:val="008228CD"/>
    <w:rsid w:val="008261D2"/>
    <w:rsid w:val="00831B4C"/>
    <w:rsid w:val="008336BE"/>
    <w:rsid w:val="00835495"/>
    <w:rsid w:val="00835F07"/>
    <w:rsid w:val="008369FF"/>
    <w:rsid w:val="008434A6"/>
    <w:rsid w:val="0084358E"/>
    <w:rsid w:val="00846065"/>
    <w:rsid w:val="00847A03"/>
    <w:rsid w:val="00850CE6"/>
    <w:rsid w:val="00853CF3"/>
    <w:rsid w:val="008540A4"/>
    <w:rsid w:val="008572B2"/>
    <w:rsid w:val="00860A88"/>
    <w:rsid w:val="00861E61"/>
    <w:rsid w:val="00864A80"/>
    <w:rsid w:val="00867E8B"/>
    <w:rsid w:val="00872393"/>
    <w:rsid w:val="008732CC"/>
    <w:rsid w:val="00874AF4"/>
    <w:rsid w:val="00875D0A"/>
    <w:rsid w:val="00876632"/>
    <w:rsid w:val="00880AAD"/>
    <w:rsid w:val="00883761"/>
    <w:rsid w:val="00884AB6"/>
    <w:rsid w:val="008858C2"/>
    <w:rsid w:val="008907FE"/>
    <w:rsid w:val="00893930"/>
    <w:rsid w:val="00893A85"/>
    <w:rsid w:val="00897E18"/>
    <w:rsid w:val="008A0F55"/>
    <w:rsid w:val="008A1774"/>
    <w:rsid w:val="008A2DA8"/>
    <w:rsid w:val="008A43D4"/>
    <w:rsid w:val="008A5010"/>
    <w:rsid w:val="008A69F4"/>
    <w:rsid w:val="008A7263"/>
    <w:rsid w:val="008B1311"/>
    <w:rsid w:val="008B23CD"/>
    <w:rsid w:val="008B31CC"/>
    <w:rsid w:val="008B456C"/>
    <w:rsid w:val="008B5DE1"/>
    <w:rsid w:val="008B6BA0"/>
    <w:rsid w:val="008C1201"/>
    <w:rsid w:val="008C1826"/>
    <w:rsid w:val="008C216F"/>
    <w:rsid w:val="008C7679"/>
    <w:rsid w:val="008D0396"/>
    <w:rsid w:val="008D0553"/>
    <w:rsid w:val="008D3566"/>
    <w:rsid w:val="008D3BC0"/>
    <w:rsid w:val="008D5D6B"/>
    <w:rsid w:val="008E2674"/>
    <w:rsid w:val="008F580C"/>
    <w:rsid w:val="009000C9"/>
    <w:rsid w:val="00903656"/>
    <w:rsid w:val="00904727"/>
    <w:rsid w:val="00904CD2"/>
    <w:rsid w:val="009062ED"/>
    <w:rsid w:val="00906BDD"/>
    <w:rsid w:val="0090775D"/>
    <w:rsid w:val="00910D8E"/>
    <w:rsid w:val="009135A8"/>
    <w:rsid w:val="00913FF5"/>
    <w:rsid w:val="009144C0"/>
    <w:rsid w:val="009144DD"/>
    <w:rsid w:val="0091722D"/>
    <w:rsid w:val="00922E34"/>
    <w:rsid w:val="00933100"/>
    <w:rsid w:val="009361AE"/>
    <w:rsid w:val="0093739A"/>
    <w:rsid w:val="009403AD"/>
    <w:rsid w:val="0094277B"/>
    <w:rsid w:val="00943371"/>
    <w:rsid w:val="00945F7F"/>
    <w:rsid w:val="009470AA"/>
    <w:rsid w:val="0095622F"/>
    <w:rsid w:val="00957273"/>
    <w:rsid w:val="0096151E"/>
    <w:rsid w:val="0096199D"/>
    <w:rsid w:val="00962802"/>
    <w:rsid w:val="00963CDE"/>
    <w:rsid w:val="0096491B"/>
    <w:rsid w:val="00966D72"/>
    <w:rsid w:val="00967678"/>
    <w:rsid w:val="00970230"/>
    <w:rsid w:val="0097223B"/>
    <w:rsid w:val="009732BA"/>
    <w:rsid w:val="00977E69"/>
    <w:rsid w:val="0098148A"/>
    <w:rsid w:val="009859E7"/>
    <w:rsid w:val="00985E0C"/>
    <w:rsid w:val="0098735C"/>
    <w:rsid w:val="009909EA"/>
    <w:rsid w:val="00991668"/>
    <w:rsid w:val="009A0390"/>
    <w:rsid w:val="009A051F"/>
    <w:rsid w:val="009A2F18"/>
    <w:rsid w:val="009A3159"/>
    <w:rsid w:val="009B0F30"/>
    <w:rsid w:val="009B12D0"/>
    <w:rsid w:val="009B14FE"/>
    <w:rsid w:val="009B2160"/>
    <w:rsid w:val="009B4696"/>
    <w:rsid w:val="009B4FE2"/>
    <w:rsid w:val="009B6742"/>
    <w:rsid w:val="009B7383"/>
    <w:rsid w:val="009B7417"/>
    <w:rsid w:val="009B7C85"/>
    <w:rsid w:val="009C0391"/>
    <w:rsid w:val="009C2014"/>
    <w:rsid w:val="009C3C09"/>
    <w:rsid w:val="009D0ACD"/>
    <w:rsid w:val="009D0B7A"/>
    <w:rsid w:val="009D12CD"/>
    <w:rsid w:val="009D1D93"/>
    <w:rsid w:val="009D2572"/>
    <w:rsid w:val="009D7AA2"/>
    <w:rsid w:val="009E05C6"/>
    <w:rsid w:val="009E07D2"/>
    <w:rsid w:val="009E21D2"/>
    <w:rsid w:val="009E24A6"/>
    <w:rsid w:val="009E6B5C"/>
    <w:rsid w:val="009E734D"/>
    <w:rsid w:val="009F31D9"/>
    <w:rsid w:val="009F3652"/>
    <w:rsid w:val="009F4871"/>
    <w:rsid w:val="009F708A"/>
    <w:rsid w:val="009F75A3"/>
    <w:rsid w:val="00A00EAB"/>
    <w:rsid w:val="00A0163A"/>
    <w:rsid w:val="00A04271"/>
    <w:rsid w:val="00A07A4E"/>
    <w:rsid w:val="00A105C7"/>
    <w:rsid w:val="00A14F0A"/>
    <w:rsid w:val="00A159E1"/>
    <w:rsid w:val="00A16E6F"/>
    <w:rsid w:val="00A24DAB"/>
    <w:rsid w:val="00A253EA"/>
    <w:rsid w:val="00A26884"/>
    <w:rsid w:val="00A32E00"/>
    <w:rsid w:val="00A41980"/>
    <w:rsid w:val="00A4462B"/>
    <w:rsid w:val="00A4688B"/>
    <w:rsid w:val="00A53525"/>
    <w:rsid w:val="00A60706"/>
    <w:rsid w:val="00A625F6"/>
    <w:rsid w:val="00A65FF8"/>
    <w:rsid w:val="00A72B7B"/>
    <w:rsid w:val="00A72F65"/>
    <w:rsid w:val="00A75116"/>
    <w:rsid w:val="00A77308"/>
    <w:rsid w:val="00A807B9"/>
    <w:rsid w:val="00A905B3"/>
    <w:rsid w:val="00A908AC"/>
    <w:rsid w:val="00A9238D"/>
    <w:rsid w:val="00A948B3"/>
    <w:rsid w:val="00A95E92"/>
    <w:rsid w:val="00A968CA"/>
    <w:rsid w:val="00AA0831"/>
    <w:rsid w:val="00AA1DC0"/>
    <w:rsid w:val="00AA47F3"/>
    <w:rsid w:val="00AA5F43"/>
    <w:rsid w:val="00AB0E93"/>
    <w:rsid w:val="00AB113E"/>
    <w:rsid w:val="00AB1A3C"/>
    <w:rsid w:val="00AB6860"/>
    <w:rsid w:val="00AC1DE5"/>
    <w:rsid w:val="00AC1F67"/>
    <w:rsid w:val="00AC2AB4"/>
    <w:rsid w:val="00AC438E"/>
    <w:rsid w:val="00AC6562"/>
    <w:rsid w:val="00AD26BF"/>
    <w:rsid w:val="00AD2E2E"/>
    <w:rsid w:val="00AD2FFD"/>
    <w:rsid w:val="00AD440D"/>
    <w:rsid w:val="00AD6A6E"/>
    <w:rsid w:val="00AD71AA"/>
    <w:rsid w:val="00AD75BA"/>
    <w:rsid w:val="00AE01CA"/>
    <w:rsid w:val="00AE14E2"/>
    <w:rsid w:val="00AE3076"/>
    <w:rsid w:val="00AF077C"/>
    <w:rsid w:val="00AF1F26"/>
    <w:rsid w:val="00AF3526"/>
    <w:rsid w:val="00AF5A63"/>
    <w:rsid w:val="00AF7D5C"/>
    <w:rsid w:val="00B00346"/>
    <w:rsid w:val="00B01708"/>
    <w:rsid w:val="00B01A8B"/>
    <w:rsid w:val="00B044E7"/>
    <w:rsid w:val="00B10BF2"/>
    <w:rsid w:val="00B12382"/>
    <w:rsid w:val="00B1409A"/>
    <w:rsid w:val="00B205E1"/>
    <w:rsid w:val="00B20B90"/>
    <w:rsid w:val="00B21DB9"/>
    <w:rsid w:val="00B22D39"/>
    <w:rsid w:val="00B231AA"/>
    <w:rsid w:val="00B23AD5"/>
    <w:rsid w:val="00B26D77"/>
    <w:rsid w:val="00B27639"/>
    <w:rsid w:val="00B30BF5"/>
    <w:rsid w:val="00B31BA2"/>
    <w:rsid w:val="00B35AA3"/>
    <w:rsid w:val="00B426E0"/>
    <w:rsid w:val="00B46C45"/>
    <w:rsid w:val="00B5282C"/>
    <w:rsid w:val="00B5383C"/>
    <w:rsid w:val="00B54A67"/>
    <w:rsid w:val="00B57A9F"/>
    <w:rsid w:val="00B6092B"/>
    <w:rsid w:val="00B66DB7"/>
    <w:rsid w:val="00B71188"/>
    <w:rsid w:val="00B7194E"/>
    <w:rsid w:val="00B75489"/>
    <w:rsid w:val="00B76D5E"/>
    <w:rsid w:val="00B80621"/>
    <w:rsid w:val="00B80819"/>
    <w:rsid w:val="00B844D6"/>
    <w:rsid w:val="00B97B94"/>
    <w:rsid w:val="00BA15C4"/>
    <w:rsid w:val="00BA36E9"/>
    <w:rsid w:val="00BA4018"/>
    <w:rsid w:val="00BA4548"/>
    <w:rsid w:val="00BA46CB"/>
    <w:rsid w:val="00BA536E"/>
    <w:rsid w:val="00BA5A48"/>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2DDE"/>
    <w:rsid w:val="00BD2F79"/>
    <w:rsid w:val="00BD3233"/>
    <w:rsid w:val="00BD635A"/>
    <w:rsid w:val="00BD7AD4"/>
    <w:rsid w:val="00BD7B6F"/>
    <w:rsid w:val="00BE1350"/>
    <w:rsid w:val="00BE4EBD"/>
    <w:rsid w:val="00BE60A7"/>
    <w:rsid w:val="00BE6EFE"/>
    <w:rsid w:val="00BF36ED"/>
    <w:rsid w:val="00BF6DF5"/>
    <w:rsid w:val="00C02E75"/>
    <w:rsid w:val="00C02EC2"/>
    <w:rsid w:val="00C07D88"/>
    <w:rsid w:val="00C12E2E"/>
    <w:rsid w:val="00C151B9"/>
    <w:rsid w:val="00C17AF0"/>
    <w:rsid w:val="00C208EA"/>
    <w:rsid w:val="00C21A88"/>
    <w:rsid w:val="00C2283A"/>
    <w:rsid w:val="00C24E4D"/>
    <w:rsid w:val="00C252EF"/>
    <w:rsid w:val="00C25C43"/>
    <w:rsid w:val="00C27E34"/>
    <w:rsid w:val="00C33A80"/>
    <w:rsid w:val="00C34B83"/>
    <w:rsid w:val="00C419B4"/>
    <w:rsid w:val="00C424C5"/>
    <w:rsid w:val="00C42C58"/>
    <w:rsid w:val="00C441BE"/>
    <w:rsid w:val="00C4787C"/>
    <w:rsid w:val="00C5015B"/>
    <w:rsid w:val="00C512D6"/>
    <w:rsid w:val="00C52FD6"/>
    <w:rsid w:val="00C55CC6"/>
    <w:rsid w:val="00C5680E"/>
    <w:rsid w:val="00C605EE"/>
    <w:rsid w:val="00C61F9E"/>
    <w:rsid w:val="00C6201D"/>
    <w:rsid w:val="00C6227F"/>
    <w:rsid w:val="00C7162F"/>
    <w:rsid w:val="00C7426F"/>
    <w:rsid w:val="00C745E1"/>
    <w:rsid w:val="00C81041"/>
    <w:rsid w:val="00C902B1"/>
    <w:rsid w:val="00C91F6D"/>
    <w:rsid w:val="00C920BB"/>
    <w:rsid w:val="00C9343A"/>
    <w:rsid w:val="00C9359E"/>
    <w:rsid w:val="00C93D6A"/>
    <w:rsid w:val="00C94AC5"/>
    <w:rsid w:val="00C9623A"/>
    <w:rsid w:val="00CA53F8"/>
    <w:rsid w:val="00CA6CC7"/>
    <w:rsid w:val="00CA6D8B"/>
    <w:rsid w:val="00CB2CAC"/>
    <w:rsid w:val="00CB4795"/>
    <w:rsid w:val="00CB51AD"/>
    <w:rsid w:val="00CC1BF8"/>
    <w:rsid w:val="00CC1E0E"/>
    <w:rsid w:val="00CC2982"/>
    <w:rsid w:val="00CC3C40"/>
    <w:rsid w:val="00CC605E"/>
    <w:rsid w:val="00CC6E60"/>
    <w:rsid w:val="00CD1A34"/>
    <w:rsid w:val="00CD1D04"/>
    <w:rsid w:val="00CD3A81"/>
    <w:rsid w:val="00CD3C3F"/>
    <w:rsid w:val="00CD4793"/>
    <w:rsid w:val="00CD61D0"/>
    <w:rsid w:val="00CE0D9A"/>
    <w:rsid w:val="00CE1342"/>
    <w:rsid w:val="00CE18E8"/>
    <w:rsid w:val="00CE2836"/>
    <w:rsid w:val="00CE5BEA"/>
    <w:rsid w:val="00CE6C54"/>
    <w:rsid w:val="00CF08C2"/>
    <w:rsid w:val="00CF2582"/>
    <w:rsid w:val="00CF2986"/>
    <w:rsid w:val="00CF498D"/>
    <w:rsid w:val="00CF7024"/>
    <w:rsid w:val="00D031FA"/>
    <w:rsid w:val="00D036C5"/>
    <w:rsid w:val="00D037D3"/>
    <w:rsid w:val="00D066C5"/>
    <w:rsid w:val="00D129A6"/>
    <w:rsid w:val="00D13EA4"/>
    <w:rsid w:val="00D17691"/>
    <w:rsid w:val="00D22B12"/>
    <w:rsid w:val="00D2326D"/>
    <w:rsid w:val="00D257AC"/>
    <w:rsid w:val="00D306F9"/>
    <w:rsid w:val="00D3179C"/>
    <w:rsid w:val="00D31C4D"/>
    <w:rsid w:val="00D3492E"/>
    <w:rsid w:val="00D36C11"/>
    <w:rsid w:val="00D374A9"/>
    <w:rsid w:val="00D411FA"/>
    <w:rsid w:val="00D41B54"/>
    <w:rsid w:val="00D4259D"/>
    <w:rsid w:val="00D44710"/>
    <w:rsid w:val="00D4700C"/>
    <w:rsid w:val="00D479EE"/>
    <w:rsid w:val="00D52801"/>
    <w:rsid w:val="00D53D1F"/>
    <w:rsid w:val="00D5676B"/>
    <w:rsid w:val="00D57066"/>
    <w:rsid w:val="00D75739"/>
    <w:rsid w:val="00D920A6"/>
    <w:rsid w:val="00D9328F"/>
    <w:rsid w:val="00D93CFD"/>
    <w:rsid w:val="00D948C3"/>
    <w:rsid w:val="00D94FAB"/>
    <w:rsid w:val="00D95A65"/>
    <w:rsid w:val="00DA030E"/>
    <w:rsid w:val="00DB34C3"/>
    <w:rsid w:val="00DB3C98"/>
    <w:rsid w:val="00DC0419"/>
    <w:rsid w:val="00DC0591"/>
    <w:rsid w:val="00DC22A3"/>
    <w:rsid w:val="00DC69CE"/>
    <w:rsid w:val="00DC7604"/>
    <w:rsid w:val="00DD1481"/>
    <w:rsid w:val="00DD207B"/>
    <w:rsid w:val="00DD6609"/>
    <w:rsid w:val="00DD6BA0"/>
    <w:rsid w:val="00DE63A8"/>
    <w:rsid w:val="00DF3D1C"/>
    <w:rsid w:val="00DF5111"/>
    <w:rsid w:val="00DF5F1A"/>
    <w:rsid w:val="00DF70F7"/>
    <w:rsid w:val="00E01900"/>
    <w:rsid w:val="00E01C82"/>
    <w:rsid w:val="00E0286B"/>
    <w:rsid w:val="00E031D6"/>
    <w:rsid w:val="00E16070"/>
    <w:rsid w:val="00E173B3"/>
    <w:rsid w:val="00E1778E"/>
    <w:rsid w:val="00E21A79"/>
    <w:rsid w:val="00E223DA"/>
    <w:rsid w:val="00E22A24"/>
    <w:rsid w:val="00E26A26"/>
    <w:rsid w:val="00E26C7A"/>
    <w:rsid w:val="00E31D9D"/>
    <w:rsid w:val="00E3245A"/>
    <w:rsid w:val="00E33C02"/>
    <w:rsid w:val="00E45753"/>
    <w:rsid w:val="00E46711"/>
    <w:rsid w:val="00E47A93"/>
    <w:rsid w:val="00E53E91"/>
    <w:rsid w:val="00E550B8"/>
    <w:rsid w:val="00E560AD"/>
    <w:rsid w:val="00E56C25"/>
    <w:rsid w:val="00E5753C"/>
    <w:rsid w:val="00E6036C"/>
    <w:rsid w:val="00E60525"/>
    <w:rsid w:val="00E618D5"/>
    <w:rsid w:val="00E63363"/>
    <w:rsid w:val="00E6588C"/>
    <w:rsid w:val="00E65C14"/>
    <w:rsid w:val="00E747B6"/>
    <w:rsid w:val="00E7559A"/>
    <w:rsid w:val="00E76335"/>
    <w:rsid w:val="00E77224"/>
    <w:rsid w:val="00E7754E"/>
    <w:rsid w:val="00E81E80"/>
    <w:rsid w:val="00E86F9A"/>
    <w:rsid w:val="00E86FB9"/>
    <w:rsid w:val="00E9190E"/>
    <w:rsid w:val="00E93803"/>
    <w:rsid w:val="00E943C3"/>
    <w:rsid w:val="00E946A0"/>
    <w:rsid w:val="00E94894"/>
    <w:rsid w:val="00EA0C17"/>
    <w:rsid w:val="00EA3693"/>
    <w:rsid w:val="00EA407C"/>
    <w:rsid w:val="00EA44C5"/>
    <w:rsid w:val="00EA74B5"/>
    <w:rsid w:val="00EB2C0E"/>
    <w:rsid w:val="00EB4655"/>
    <w:rsid w:val="00EB4AAC"/>
    <w:rsid w:val="00EB6D24"/>
    <w:rsid w:val="00EB782B"/>
    <w:rsid w:val="00EC15E4"/>
    <w:rsid w:val="00EC1E30"/>
    <w:rsid w:val="00EC238E"/>
    <w:rsid w:val="00EC3F22"/>
    <w:rsid w:val="00EC6367"/>
    <w:rsid w:val="00EC7D4B"/>
    <w:rsid w:val="00ED0044"/>
    <w:rsid w:val="00ED34EC"/>
    <w:rsid w:val="00ED491F"/>
    <w:rsid w:val="00ED7605"/>
    <w:rsid w:val="00EE1EAD"/>
    <w:rsid w:val="00EE360E"/>
    <w:rsid w:val="00EE5F60"/>
    <w:rsid w:val="00EE66B9"/>
    <w:rsid w:val="00EE6B42"/>
    <w:rsid w:val="00EE75BF"/>
    <w:rsid w:val="00EF0BC4"/>
    <w:rsid w:val="00EF12C5"/>
    <w:rsid w:val="00EF3447"/>
    <w:rsid w:val="00F00571"/>
    <w:rsid w:val="00F01D38"/>
    <w:rsid w:val="00F07B41"/>
    <w:rsid w:val="00F10E78"/>
    <w:rsid w:val="00F10E87"/>
    <w:rsid w:val="00F12958"/>
    <w:rsid w:val="00F143C7"/>
    <w:rsid w:val="00F2025A"/>
    <w:rsid w:val="00F21CD9"/>
    <w:rsid w:val="00F24FFF"/>
    <w:rsid w:val="00F25EF5"/>
    <w:rsid w:val="00F308FF"/>
    <w:rsid w:val="00F351E9"/>
    <w:rsid w:val="00F355C2"/>
    <w:rsid w:val="00F3698A"/>
    <w:rsid w:val="00F36D38"/>
    <w:rsid w:val="00F37F20"/>
    <w:rsid w:val="00F41D88"/>
    <w:rsid w:val="00F423BB"/>
    <w:rsid w:val="00F423E5"/>
    <w:rsid w:val="00F43401"/>
    <w:rsid w:val="00F43553"/>
    <w:rsid w:val="00F4386A"/>
    <w:rsid w:val="00F44637"/>
    <w:rsid w:val="00F4480D"/>
    <w:rsid w:val="00F457A9"/>
    <w:rsid w:val="00F52488"/>
    <w:rsid w:val="00F5295B"/>
    <w:rsid w:val="00F544D9"/>
    <w:rsid w:val="00F55F78"/>
    <w:rsid w:val="00F56247"/>
    <w:rsid w:val="00F60C57"/>
    <w:rsid w:val="00F64807"/>
    <w:rsid w:val="00F6568B"/>
    <w:rsid w:val="00F814D5"/>
    <w:rsid w:val="00F820E8"/>
    <w:rsid w:val="00F8724C"/>
    <w:rsid w:val="00F87643"/>
    <w:rsid w:val="00F915CA"/>
    <w:rsid w:val="00F92CB6"/>
    <w:rsid w:val="00F942C8"/>
    <w:rsid w:val="00FA0A05"/>
    <w:rsid w:val="00FA3204"/>
    <w:rsid w:val="00FA3976"/>
    <w:rsid w:val="00FA4502"/>
    <w:rsid w:val="00FB2878"/>
    <w:rsid w:val="00FB75ED"/>
    <w:rsid w:val="00FC349F"/>
    <w:rsid w:val="00FC4CE9"/>
    <w:rsid w:val="00FC714C"/>
    <w:rsid w:val="00FC7847"/>
    <w:rsid w:val="00FD275D"/>
    <w:rsid w:val="00FD4A98"/>
    <w:rsid w:val="00FD5BD1"/>
    <w:rsid w:val="00FD6A91"/>
    <w:rsid w:val="00FE06D2"/>
    <w:rsid w:val="00FE11BF"/>
    <w:rsid w:val="00FE12D4"/>
    <w:rsid w:val="00FE28A3"/>
    <w:rsid w:val="00FE2A44"/>
    <w:rsid w:val="00FE5D0C"/>
    <w:rsid w:val="00FE5E3C"/>
    <w:rsid w:val="00FE662D"/>
    <w:rsid w:val="00FF02DE"/>
    <w:rsid w:val="00FF0CF1"/>
    <w:rsid w:val="00FF1FA1"/>
    <w:rsid w:val="00FF4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42"/>
      </w:numPr>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B26D77"/>
    <w:pPr>
      <w:autoSpaceDE w:val="0"/>
      <w:autoSpaceDN w:val="0"/>
      <w:adjustRightInd w:val="0"/>
    </w:pPr>
    <w:rPr>
      <w:rFonts w:cs="Calibri"/>
      <w:color w:val="000000"/>
      <w:sz w:val="24"/>
      <w:szCs w:val="24"/>
    </w:rPr>
  </w:style>
  <w:style w:type="character" w:customStyle="1" w:styleId="ssens">
    <w:name w:val="ssens"/>
    <w:basedOn w:val="DefaultParagraphFont"/>
    <w:rsid w:val="00AF077C"/>
  </w:style>
  <w:style w:type="character" w:styleId="Emphasis">
    <w:name w:val="Emphasis"/>
    <w:basedOn w:val="DefaultParagraphFont"/>
    <w:uiPriority w:val="20"/>
    <w:qFormat/>
    <w:rsid w:val="00AF077C"/>
    <w:rPr>
      <w:i/>
      <w:iCs/>
    </w:rPr>
  </w:style>
  <w:style w:type="character" w:styleId="Strong">
    <w:name w:val="Strong"/>
    <w:basedOn w:val="DefaultParagraphFont"/>
    <w:uiPriority w:val="22"/>
    <w:qFormat/>
    <w:rsid w:val="00AF077C"/>
    <w:rPr>
      <w:b/>
      <w:bCs/>
    </w:rPr>
  </w:style>
  <w:style w:type="paragraph" w:styleId="Revision">
    <w:name w:val="Revision"/>
    <w:hidden/>
    <w:uiPriority w:val="71"/>
    <w:rsid w:val="00D75739"/>
    <w:rPr>
      <w:sz w:val="22"/>
      <w:szCs w:val="22"/>
    </w:rPr>
  </w:style>
  <w:style w:type="character" w:customStyle="1" w:styleId="hwc">
    <w:name w:val="hwc"/>
    <w:basedOn w:val="DefaultParagraphFont"/>
    <w:rsid w:val="000B6D42"/>
  </w:style>
  <w:style w:type="paragraph" w:styleId="DocumentMap">
    <w:name w:val="Document Map"/>
    <w:basedOn w:val="Normal"/>
    <w:link w:val="DocumentMapChar"/>
    <w:uiPriority w:val="99"/>
    <w:semiHidden/>
    <w:unhideWhenUsed/>
    <w:rsid w:val="00234DC0"/>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34DC0"/>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130176973">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60895568">
      <w:bodyDiv w:val="1"/>
      <w:marLeft w:val="0"/>
      <w:marRight w:val="0"/>
      <w:marTop w:val="0"/>
      <w:marBottom w:val="0"/>
      <w:divBdr>
        <w:top w:val="none" w:sz="0" w:space="0" w:color="auto"/>
        <w:left w:val="none" w:sz="0" w:space="0" w:color="auto"/>
        <w:bottom w:val="none" w:sz="0" w:space="0" w:color="auto"/>
        <w:right w:val="none" w:sz="0" w:space="0" w:color="auto"/>
      </w:divBdr>
      <w:divsChild>
        <w:div w:id="1384717871">
          <w:marLeft w:val="0"/>
          <w:marRight w:val="0"/>
          <w:marTop w:val="0"/>
          <w:marBottom w:val="0"/>
          <w:divBdr>
            <w:top w:val="none" w:sz="0" w:space="0" w:color="auto"/>
            <w:left w:val="none" w:sz="0" w:space="0" w:color="auto"/>
            <w:bottom w:val="none" w:sz="0" w:space="0" w:color="auto"/>
            <w:right w:val="none" w:sz="0" w:space="0" w:color="auto"/>
          </w:divBdr>
        </w:div>
        <w:div w:id="1913393168">
          <w:marLeft w:val="0"/>
          <w:marRight w:val="0"/>
          <w:marTop w:val="0"/>
          <w:marBottom w:val="0"/>
          <w:divBdr>
            <w:top w:val="none" w:sz="0" w:space="0" w:color="auto"/>
            <w:left w:val="none" w:sz="0" w:space="0" w:color="auto"/>
            <w:bottom w:val="none" w:sz="0" w:space="0" w:color="auto"/>
            <w:right w:val="none" w:sz="0" w:space="0" w:color="auto"/>
          </w:divBdr>
        </w:div>
        <w:div w:id="979387671">
          <w:marLeft w:val="0"/>
          <w:marRight w:val="0"/>
          <w:marTop w:val="0"/>
          <w:marBottom w:val="0"/>
          <w:divBdr>
            <w:top w:val="none" w:sz="0" w:space="0" w:color="auto"/>
            <w:left w:val="none" w:sz="0" w:space="0" w:color="auto"/>
            <w:bottom w:val="none" w:sz="0" w:space="0" w:color="auto"/>
            <w:right w:val="none" w:sz="0" w:space="0" w:color="auto"/>
          </w:divBdr>
        </w:div>
        <w:div w:id="687752493">
          <w:marLeft w:val="0"/>
          <w:marRight w:val="0"/>
          <w:marTop w:val="0"/>
          <w:marBottom w:val="0"/>
          <w:divBdr>
            <w:top w:val="none" w:sz="0" w:space="0" w:color="auto"/>
            <w:left w:val="none" w:sz="0" w:space="0" w:color="auto"/>
            <w:bottom w:val="none" w:sz="0" w:space="0" w:color="auto"/>
            <w:right w:val="none" w:sz="0" w:space="0" w:color="auto"/>
          </w:divBdr>
        </w:div>
        <w:div w:id="1535580466">
          <w:marLeft w:val="0"/>
          <w:marRight w:val="0"/>
          <w:marTop w:val="0"/>
          <w:marBottom w:val="0"/>
          <w:divBdr>
            <w:top w:val="none" w:sz="0" w:space="0" w:color="auto"/>
            <w:left w:val="none" w:sz="0" w:space="0" w:color="auto"/>
            <w:bottom w:val="none" w:sz="0" w:space="0" w:color="auto"/>
            <w:right w:val="none" w:sz="0" w:space="0" w:color="auto"/>
          </w:divBdr>
        </w:div>
      </w:divsChild>
    </w:div>
    <w:div w:id="1220508441">
      <w:bodyDiv w:val="1"/>
      <w:marLeft w:val="0"/>
      <w:marRight w:val="0"/>
      <w:marTop w:val="0"/>
      <w:marBottom w:val="0"/>
      <w:divBdr>
        <w:top w:val="none" w:sz="0" w:space="0" w:color="auto"/>
        <w:left w:val="none" w:sz="0" w:space="0" w:color="auto"/>
        <w:bottom w:val="none" w:sz="0" w:space="0" w:color="auto"/>
        <w:right w:val="none" w:sz="0" w:space="0" w:color="auto"/>
      </w:divBdr>
    </w:div>
    <w:div w:id="1253127685">
      <w:bodyDiv w:val="1"/>
      <w:marLeft w:val="0"/>
      <w:marRight w:val="0"/>
      <w:marTop w:val="0"/>
      <w:marBottom w:val="0"/>
      <w:divBdr>
        <w:top w:val="none" w:sz="0" w:space="0" w:color="auto"/>
        <w:left w:val="none" w:sz="0" w:space="0" w:color="auto"/>
        <w:bottom w:val="none" w:sz="0" w:space="0" w:color="auto"/>
        <w:right w:val="none" w:sz="0" w:space="0" w:color="auto"/>
      </w:divBdr>
    </w:div>
    <w:div w:id="1275594954">
      <w:bodyDiv w:val="1"/>
      <w:marLeft w:val="0"/>
      <w:marRight w:val="0"/>
      <w:marTop w:val="0"/>
      <w:marBottom w:val="0"/>
      <w:divBdr>
        <w:top w:val="none" w:sz="0" w:space="0" w:color="auto"/>
        <w:left w:val="none" w:sz="0" w:space="0" w:color="auto"/>
        <w:bottom w:val="none" w:sz="0" w:space="0" w:color="auto"/>
        <w:right w:val="none" w:sz="0" w:space="0" w:color="auto"/>
      </w:divBdr>
    </w:div>
    <w:div w:id="1278869610">
      <w:bodyDiv w:val="1"/>
      <w:marLeft w:val="0"/>
      <w:marRight w:val="0"/>
      <w:marTop w:val="0"/>
      <w:marBottom w:val="0"/>
      <w:divBdr>
        <w:top w:val="none" w:sz="0" w:space="0" w:color="auto"/>
        <w:left w:val="none" w:sz="0" w:space="0" w:color="auto"/>
        <w:bottom w:val="none" w:sz="0" w:space="0" w:color="auto"/>
        <w:right w:val="none" w:sz="0" w:space="0" w:color="auto"/>
      </w:divBdr>
      <w:divsChild>
        <w:div w:id="81727553">
          <w:marLeft w:val="0"/>
          <w:marRight w:val="0"/>
          <w:marTop w:val="0"/>
          <w:marBottom w:val="0"/>
          <w:divBdr>
            <w:top w:val="none" w:sz="0" w:space="0" w:color="auto"/>
            <w:left w:val="none" w:sz="0" w:space="0" w:color="auto"/>
            <w:bottom w:val="none" w:sz="0" w:space="0" w:color="auto"/>
            <w:right w:val="none" w:sz="0" w:space="0" w:color="auto"/>
          </w:divBdr>
        </w:div>
        <w:div w:id="611940651">
          <w:marLeft w:val="0"/>
          <w:marRight w:val="0"/>
          <w:marTop w:val="0"/>
          <w:marBottom w:val="0"/>
          <w:divBdr>
            <w:top w:val="none" w:sz="0" w:space="0" w:color="auto"/>
            <w:left w:val="none" w:sz="0" w:space="0" w:color="auto"/>
            <w:bottom w:val="none" w:sz="0" w:space="0" w:color="auto"/>
            <w:right w:val="none" w:sz="0" w:space="0" w:color="auto"/>
          </w:divBdr>
        </w:div>
        <w:div w:id="381297191">
          <w:marLeft w:val="0"/>
          <w:marRight w:val="0"/>
          <w:marTop w:val="0"/>
          <w:marBottom w:val="0"/>
          <w:divBdr>
            <w:top w:val="none" w:sz="0" w:space="0" w:color="auto"/>
            <w:left w:val="none" w:sz="0" w:space="0" w:color="auto"/>
            <w:bottom w:val="none" w:sz="0" w:space="0" w:color="auto"/>
            <w:right w:val="none" w:sz="0" w:space="0" w:color="auto"/>
          </w:divBdr>
        </w:div>
        <w:div w:id="1379016921">
          <w:marLeft w:val="0"/>
          <w:marRight w:val="0"/>
          <w:marTop w:val="0"/>
          <w:marBottom w:val="0"/>
          <w:divBdr>
            <w:top w:val="none" w:sz="0" w:space="0" w:color="auto"/>
            <w:left w:val="none" w:sz="0" w:space="0" w:color="auto"/>
            <w:bottom w:val="none" w:sz="0" w:space="0" w:color="auto"/>
            <w:right w:val="none" w:sz="0" w:space="0" w:color="auto"/>
          </w:divBdr>
        </w:div>
        <w:div w:id="780219622">
          <w:marLeft w:val="0"/>
          <w:marRight w:val="0"/>
          <w:marTop w:val="0"/>
          <w:marBottom w:val="0"/>
          <w:divBdr>
            <w:top w:val="none" w:sz="0" w:space="0" w:color="auto"/>
            <w:left w:val="none" w:sz="0" w:space="0" w:color="auto"/>
            <w:bottom w:val="none" w:sz="0" w:space="0" w:color="auto"/>
            <w:right w:val="none" w:sz="0" w:space="0" w:color="auto"/>
          </w:divBdr>
        </w:div>
        <w:div w:id="14118739">
          <w:marLeft w:val="0"/>
          <w:marRight w:val="0"/>
          <w:marTop w:val="0"/>
          <w:marBottom w:val="0"/>
          <w:divBdr>
            <w:top w:val="none" w:sz="0" w:space="0" w:color="auto"/>
            <w:left w:val="none" w:sz="0" w:space="0" w:color="auto"/>
            <w:bottom w:val="none" w:sz="0" w:space="0" w:color="auto"/>
            <w:right w:val="none" w:sz="0" w:space="0" w:color="auto"/>
          </w:divBdr>
        </w:div>
        <w:div w:id="1813938061">
          <w:marLeft w:val="0"/>
          <w:marRight w:val="0"/>
          <w:marTop w:val="0"/>
          <w:marBottom w:val="0"/>
          <w:divBdr>
            <w:top w:val="none" w:sz="0" w:space="0" w:color="auto"/>
            <w:left w:val="none" w:sz="0" w:space="0" w:color="auto"/>
            <w:bottom w:val="none" w:sz="0" w:space="0" w:color="auto"/>
            <w:right w:val="none" w:sz="0" w:space="0" w:color="auto"/>
          </w:divBdr>
        </w:div>
        <w:div w:id="2026902255">
          <w:marLeft w:val="0"/>
          <w:marRight w:val="0"/>
          <w:marTop w:val="0"/>
          <w:marBottom w:val="0"/>
          <w:divBdr>
            <w:top w:val="none" w:sz="0" w:space="0" w:color="auto"/>
            <w:left w:val="none" w:sz="0" w:space="0" w:color="auto"/>
            <w:bottom w:val="none" w:sz="0" w:space="0" w:color="auto"/>
            <w:right w:val="none" w:sz="0" w:space="0" w:color="auto"/>
          </w:divBdr>
        </w:div>
        <w:div w:id="1946574190">
          <w:marLeft w:val="0"/>
          <w:marRight w:val="0"/>
          <w:marTop w:val="0"/>
          <w:marBottom w:val="0"/>
          <w:divBdr>
            <w:top w:val="none" w:sz="0" w:space="0" w:color="auto"/>
            <w:left w:val="none" w:sz="0" w:space="0" w:color="auto"/>
            <w:bottom w:val="none" w:sz="0" w:space="0" w:color="auto"/>
            <w:right w:val="none" w:sz="0" w:space="0" w:color="auto"/>
          </w:divBdr>
        </w:div>
        <w:div w:id="1904296498">
          <w:marLeft w:val="0"/>
          <w:marRight w:val="0"/>
          <w:marTop w:val="0"/>
          <w:marBottom w:val="0"/>
          <w:divBdr>
            <w:top w:val="none" w:sz="0" w:space="0" w:color="auto"/>
            <w:left w:val="none" w:sz="0" w:space="0" w:color="auto"/>
            <w:bottom w:val="none" w:sz="0" w:space="0" w:color="auto"/>
            <w:right w:val="none" w:sz="0" w:space="0" w:color="auto"/>
          </w:divBdr>
        </w:div>
        <w:div w:id="636884277">
          <w:marLeft w:val="0"/>
          <w:marRight w:val="0"/>
          <w:marTop w:val="0"/>
          <w:marBottom w:val="0"/>
          <w:divBdr>
            <w:top w:val="none" w:sz="0" w:space="0" w:color="auto"/>
            <w:left w:val="none" w:sz="0" w:space="0" w:color="auto"/>
            <w:bottom w:val="none" w:sz="0" w:space="0" w:color="auto"/>
            <w:right w:val="none" w:sz="0" w:space="0" w:color="auto"/>
          </w:divBdr>
        </w:div>
        <w:div w:id="336155605">
          <w:marLeft w:val="0"/>
          <w:marRight w:val="0"/>
          <w:marTop w:val="0"/>
          <w:marBottom w:val="0"/>
          <w:divBdr>
            <w:top w:val="none" w:sz="0" w:space="0" w:color="auto"/>
            <w:left w:val="none" w:sz="0" w:space="0" w:color="auto"/>
            <w:bottom w:val="none" w:sz="0" w:space="0" w:color="auto"/>
            <w:right w:val="none" w:sz="0" w:space="0" w:color="auto"/>
          </w:divBdr>
        </w:div>
        <w:div w:id="980156782">
          <w:marLeft w:val="0"/>
          <w:marRight w:val="0"/>
          <w:marTop w:val="0"/>
          <w:marBottom w:val="0"/>
          <w:divBdr>
            <w:top w:val="none" w:sz="0" w:space="0" w:color="auto"/>
            <w:left w:val="none" w:sz="0" w:space="0" w:color="auto"/>
            <w:bottom w:val="none" w:sz="0" w:space="0" w:color="auto"/>
            <w:right w:val="none" w:sz="0" w:space="0" w:color="auto"/>
          </w:divBdr>
        </w:div>
        <w:div w:id="1644693229">
          <w:marLeft w:val="0"/>
          <w:marRight w:val="0"/>
          <w:marTop w:val="0"/>
          <w:marBottom w:val="0"/>
          <w:divBdr>
            <w:top w:val="none" w:sz="0" w:space="0" w:color="auto"/>
            <w:left w:val="none" w:sz="0" w:space="0" w:color="auto"/>
            <w:bottom w:val="none" w:sz="0" w:space="0" w:color="auto"/>
            <w:right w:val="none" w:sz="0" w:space="0" w:color="auto"/>
          </w:divBdr>
        </w:div>
      </w:divsChild>
    </w:div>
    <w:div w:id="1608464916">
      <w:bodyDiv w:val="1"/>
      <w:marLeft w:val="0"/>
      <w:marRight w:val="0"/>
      <w:marTop w:val="0"/>
      <w:marBottom w:val="0"/>
      <w:divBdr>
        <w:top w:val="none" w:sz="0" w:space="0" w:color="auto"/>
        <w:left w:val="none" w:sz="0" w:space="0" w:color="auto"/>
        <w:bottom w:val="none" w:sz="0" w:space="0" w:color="auto"/>
        <w:right w:val="none" w:sz="0" w:space="0" w:color="auto"/>
      </w:divBdr>
      <w:divsChild>
        <w:div w:id="2043089947">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9324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06/20/arts/genetics-and-crime-at-institute-of-justice-conferenc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bs.org/" TargetMode="External"/><Relationship Id="rId4" Type="http://schemas.openxmlformats.org/officeDocument/2006/relationships/settings" Target="settings.xml"/><Relationship Id="rId9" Type="http://schemas.openxmlformats.org/officeDocument/2006/relationships/hyperlink" Target="http://www.tampabay.com/"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48B7-772A-4C97-9021-9E3662D3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29211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2014-03-28T15:45:00Z</cp:lastPrinted>
  <dcterms:created xsi:type="dcterms:W3CDTF">2014-04-17T16:15:00Z</dcterms:created>
  <dcterms:modified xsi:type="dcterms:W3CDTF">2014-04-17T16:15:00Z</dcterms:modified>
</cp:coreProperties>
</file>