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4760BF" w:rsidP="00B231AA">
            <w:pPr>
              <w:pStyle w:val="Header-banner"/>
              <w:rPr>
                <w:rFonts w:asciiTheme="minorHAnsi" w:hAnsiTheme="minorHAnsi"/>
              </w:rPr>
            </w:pPr>
            <w:r>
              <w:rPr>
                <w:rFonts w:asciiTheme="minorHAnsi" w:hAnsiTheme="minorHAnsi"/>
              </w:rPr>
              <w:t>10.3.1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760BF">
              <w:rPr>
                <w:rFonts w:asciiTheme="minorHAnsi" w:hAnsiTheme="minorHAnsi"/>
              </w:rPr>
              <w:t>6</w:t>
            </w:r>
          </w:p>
        </w:tc>
      </w:tr>
    </w:tbl>
    <w:p w:rsidR="005C4572" w:rsidRDefault="00C4787C" w:rsidP="00E946A0">
      <w:pPr>
        <w:pStyle w:val="Heading1"/>
      </w:pPr>
      <w:r w:rsidRPr="00263AF5">
        <w:t>Introduction</w:t>
      </w:r>
    </w:p>
    <w:p w:rsidR="005C4572" w:rsidRDefault="00735C1C" w:rsidP="005C4572">
      <w:r>
        <w:t>In th</w:t>
      </w:r>
      <w:r w:rsidR="00AF59AE">
        <w:t xml:space="preserve">is lesson, </w:t>
      </w:r>
      <w:r>
        <w:t xml:space="preserve">students </w:t>
      </w:r>
      <w:r w:rsidR="00FA56DC">
        <w:t xml:space="preserve">closely </w:t>
      </w:r>
      <w:r>
        <w:t>reread</w:t>
      </w:r>
      <w:r w:rsidR="00C26F37">
        <w:t xml:space="preserve"> </w:t>
      </w:r>
      <w:r w:rsidR="009A173F">
        <w:t>a paragraph</w:t>
      </w:r>
      <w:r>
        <w:t xml:space="preserve"> of </w:t>
      </w:r>
      <w:r>
        <w:rPr>
          <w:i/>
        </w:rPr>
        <w:t>The Immortal Life of Henrietta Lacks</w:t>
      </w:r>
      <w:r w:rsidR="009A173F">
        <w:t xml:space="preserve"> </w:t>
      </w:r>
      <w:r w:rsidR="008C46C4">
        <w:t>on page</w:t>
      </w:r>
      <w:r w:rsidR="009A173F">
        <w:t xml:space="preserve"> 130</w:t>
      </w:r>
      <w:r w:rsidR="008C46C4">
        <w:t>,</w:t>
      </w:r>
      <w:r w:rsidR="00CD58E7">
        <w:t xml:space="preserve"> </w:t>
      </w:r>
      <w:r w:rsidR="00D84782">
        <w:t xml:space="preserve">in which </w:t>
      </w:r>
      <w:r w:rsidR="00CD58E7">
        <w:t>Skloot makes several claims about immoral research</w:t>
      </w:r>
      <w:r w:rsidR="00D84782">
        <w:t>. Students analyze</w:t>
      </w:r>
      <w:r w:rsidR="00C26F37">
        <w:t xml:space="preserve"> the rest of the </w:t>
      </w:r>
      <w:r w:rsidR="00916B0C">
        <w:t>excerpt</w:t>
      </w:r>
      <w:r w:rsidR="00CD58E7">
        <w:t xml:space="preserve"> for evidence</w:t>
      </w:r>
      <w:r w:rsidR="00D84782">
        <w:t xml:space="preserve"> in support of Skloot’s claims</w:t>
      </w:r>
      <w:r w:rsidR="00CD58E7">
        <w:t xml:space="preserve">. </w:t>
      </w:r>
      <w:r w:rsidR="008C46C4">
        <w:t>This</w:t>
      </w:r>
      <w:r w:rsidR="00DA0322">
        <w:t xml:space="preserve"> lesson </w:t>
      </w:r>
      <w:r w:rsidR="008C46C4">
        <w:t>focuses on i</w:t>
      </w:r>
      <w:r w:rsidR="00DA0322">
        <w:t xml:space="preserve">dentifying and delineating </w:t>
      </w:r>
      <w:r w:rsidR="00C26F37">
        <w:t>one of Skloot’s</w:t>
      </w:r>
      <w:r w:rsidR="00DA0322">
        <w:t xml:space="preserve"> </w:t>
      </w:r>
      <w:r w:rsidR="00D45DDF">
        <w:t>claim</w:t>
      </w:r>
      <w:r w:rsidR="00C26F37">
        <w:t>s</w:t>
      </w:r>
      <w:r w:rsidR="00D84782">
        <w:t>,</w:t>
      </w:r>
      <w:r w:rsidR="00DA0322">
        <w:t xml:space="preserve"> </w:t>
      </w:r>
      <w:r w:rsidR="00836287">
        <w:t>and</w:t>
      </w:r>
      <w:r w:rsidR="00DA0322">
        <w:t xml:space="preserve"> </w:t>
      </w:r>
      <w:r w:rsidR="00D84782">
        <w:t xml:space="preserve">evaluating </w:t>
      </w:r>
      <w:r w:rsidR="00EB30D1">
        <w:t>how relevant and sufficient</w:t>
      </w:r>
      <w:r w:rsidR="00DA0322">
        <w:t xml:space="preserve"> </w:t>
      </w:r>
      <w:r w:rsidR="008C46C4">
        <w:t>Skloot’s evidence is in supporting</w:t>
      </w:r>
      <w:r w:rsidR="00DA0322">
        <w:t xml:space="preserve"> </w:t>
      </w:r>
      <w:r w:rsidR="00C26F37">
        <w:t>the</w:t>
      </w:r>
      <w:r w:rsidR="00DA0322">
        <w:t xml:space="preserve"> </w:t>
      </w:r>
      <w:r w:rsidR="00D45DDF">
        <w:t>claim</w:t>
      </w:r>
      <w:r w:rsidR="00DA0322">
        <w:t>.</w:t>
      </w:r>
    </w:p>
    <w:p w:rsidR="007A6823" w:rsidRPr="00735C1C" w:rsidRDefault="00DA0322" w:rsidP="005C4572">
      <w:r>
        <w:t>Students e</w:t>
      </w:r>
      <w:r w:rsidR="00F61CEA">
        <w:t>xplore th</w:t>
      </w:r>
      <w:r w:rsidR="005C284B">
        <w:t>e</w:t>
      </w:r>
      <w:r w:rsidR="00F61CEA">
        <w:t xml:space="preserve"> paragraph</w:t>
      </w:r>
      <w:r w:rsidR="005C284B">
        <w:t xml:space="preserve"> on page 130</w:t>
      </w:r>
      <w:r w:rsidR="00F61CEA">
        <w:t xml:space="preserve"> through</w:t>
      </w:r>
      <w:r w:rsidR="00385EBA">
        <w:t xml:space="preserve"> the lens of</w:t>
      </w:r>
      <w:r w:rsidR="00F61CEA">
        <w:t xml:space="preserve"> </w:t>
      </w:r>
      <w:r>
        <w:t xml:space="preserve">identifying </w:t>
      </w:r>
      <w:r w:rsidR="00385EBA">
        <w:t>and delineating one of Skloot’s</w:t>
      </w:r>
      <w:r>
        <w:t xml:space="preserve"> </w:t>
      </w:r>
      <w:r w:rsidR="00D45DDF">
        <w:t>claim</w:t>
      </w:r>
      <w:r w:rsidR="00385EBA">
        <w:t>s</w:t>
      </w:r>
      <w:r>
        <w:t xml:space="preserve">. </w:t>
      </w:r>
      <w:r w:rsidR="00385EBA">
        <w:t>Next</w:t>
      </w:r>
      <w:r w:rsidR="00F61CEA">
        <w:t xml:space="preserve">, </w:t>
      </w:r>
      <w:r>
        <w:t>students pa</w:t>
      </w:r>
      <w:r w:rsidR="00385EBA">
        <w:t>rticipate in guided practice</w:t>
      </w:r>
      <w:r>
        <w:t xml:space="preserve"> </w:t>
      </w:r>
      <w:r w:rsidR="00D84782">
        <w:t xml:space="preserve">to determine </w:t>
      </w:r>
      <w:r>
        <w:t xml:space="preserve">what qualifies as relevant and sufficient evidence to support a </w:t>
      </w:r>
      <w:r w:rsidR="00D45DDF">
        <w:t>claim</w:t>
      </w:r>
      <w:r>
        <w:t>.</w:t>
      </w:r>
      <w:r w:rsidR="00C26F37">
        <w:t xml:space="preserve"> </w:t>
      </w:r>
      <w:r w:rsidR="007A6823">
        <w:t>The assessment in this l</w:t>
      </w:r>
      <w:r w:rsidR="008922AB">
        <w:t xml:space="preserve">esson is the </w:t>
      </w:r>
      <w:r w:rsidR="008922AB" w:rsidRPr="00F91E9C">
        <w:t>Lesson 6</w:t>
      </w:r>
      <w:r w:rsidR="007A6823" w:rsidRPr="00F91E9C">
        <w:t xml:space="preserve"> Evidence </w:t>
      </w:r>
      <w:r w:rsidR="00595390">
        <w:t xml:space="preserve">Collection </w:t>
      </w:r>
      <w:r w:rsidR="007A6823" w:rsidRPr="00F91E9C">
        <w:t>Tool</w:t>
      </w:r>
      <w:r w:rsidR="007A6823">
        <w:t xml:space="preserve"> that require</w:t>
      </w:r>
      <w:r w:rsidR="00F61CEA">
        <w:t>s</w:t>
      </w:r>
      <w:r w:rsidR="007A6823">
        <w:t xml:space="preserve"> student groups to identify and evaluate evidence that Skloot uses in </w:t>
      </w:r>
      <w:r w:rsidR="008C46C4">
        <w:t>pages</w:t>
      </w:r>
      <w:r w:rsidR="007A6823">
        <w:t xml:space="preserve"> 127</w:t>
      </w:r>
      <w:r w:rsidR="003839F6" w:rsidRPr="008C46C4">
        <w:t>–</w:t>
      </w:r>
      <w:r w:rsidR="007A6823">
        <w:t xml:space="preserve">136 to support her </w:t>
      </w:r>
      <w:r w:rsidR="00D45DDF">
        <w:t>claim</w:t>
      </w:r>
      <w:r w:rsidR="007A6823">
        <w:t xml:space="preserve">. Students </w:t>
      </w:r>
      <w:r w:rsidR="00F61CEA">
        <w:t>participate in collaborative</w:t>
      </w:r>
      <w:r w:rsidR="007A6823">
        <w:t xml:space="preserve"> group discussion</w:t>
      </w:r>
      <w:r w:rsidR="00F61CEA">
        <w:t xml:space="preserve"> and synthesize their findings on the </w:t>
      </w:r>
      <w:r w:rsidR="00F61CEA" w:rsidRPr="00F91E9C">
        <w:t xml:space="preserve">Lesson 6 Evidence </w:t>
      </w:r>
      <w:r w:rsidR="00595390">
        <w:t xml:space="preserve">Collection </w:t>
      </w:r>
      <w:r w:rsidR="00F61CEA" w:rsidRPr="00F91E9C">
        <w:t>Tool</w:t>
      </w:r>
      <w:r w:rsidR="007A6823" w:rsidRPr="00F91E9C">
        <w:t>.</w:t>
      </w:r>
      <w:r w:rsidR="00C26F37">
        <w:t xml:space="preserve"> </w:t>
      </w:r>
      <w:r w:rsidR="007A6823">
        <w:t>For homework, students p</w:t>
      </w:r>
      <w:r w:rsidR="007A6823" w:rsidRPr="007A6823">
        <w:t>review the following lesson’s text and annotate from “</w:t>
      </w:r>
      <w:r w:rsidR="00E06C2D">
        <w:t>But Day didn’t want to talk about Henrietta’s life</w:t>
      </w:r>
      <w:r w:rsidR="007A6823" w:rsidRPr="007A6823">
        <w:t>” to “I think I would have killed him myself” (pp. 164</w:t>
      </w:r>
      <w:r w:rsidR="003839F6" w:rsidRPr="006D1729">
        <w:t>–</w:t>
      </w:r>
      <w:r w:rsidR="007A6823" w:rsidRPr="007A6823">
        <w:t xml:space="preserve">169). </w:t>
      </w:r>
      <w:r w:rsidR="007A6823">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4760BF" w:rsidP="000B2D56">
            <w:pPr>
              <w:pStyle w:val="TableText"/>
            </w:pPr>
            <w:r w:rsidRPr="004760BF">
              <w:t>RI.9-10.8</w:t>
            </w:r>
          </w:p>
        </w:tc>
        <w:tc>
          <w:tcPr>
            <w:tcW w:w="8124" w:type="dxa"/>
          </w:tcPr>
          <w:p w:rsidR="00CF498D" w:rsidRPr="0074767E" w:rsidRDefault="000351C0" w:rsidP="0074767E">
            <w:pPr>
              <w:pStyle w:val="TableText"/>
            </w:pPr>
            <w:r w:rsidRPr="0074767E">
              <w:t>Delineate and evaluate the argument and specific claims in a text, assessing whether the reasoning is valid and the evidence is relevant and sufficient; identify false statements and fallacious reasoning.</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418C1" w:rsidRPr="0053542D">
        <w:tc>
          <w:tcPr>
            <w:tcW w:w="1344" w:type="dxa"/>
          </w:tcPr>
          <w:p w:rsidR="000418C1" w:rsidRPr="000418C1" w:rsidRDefault="000418C1" w:rsidP="000B2D56">
            <w:pPr>
              <w:pStyle w:val="TableText"/>
              <w:rPr>
                <w:rFonts w:asciiTheme="minorHAnsi" w:hAnsiTheme="minorHAnsi"/>
              </w:rPr>
            </w:pPr>
            <w:r w:rsidRPr="000418C1">
              <w:rPr>
                <w:rFonts w:asciiTheme="minorHAnsi" w:hAnsiTheme="minorHAnsi"/>
              </w:rPr>
              <w:t>W.9-10.9.</w:t>
            </w:r>
            <w:r w:rsidR="00D84782">
              <w:rPr>
                <w:rFonts w:asciiTheme="minorHAnsi" w:hAnsiTheme="minorHAnsi"/>
              </w:rPr>
              <w:t>b</w:t>
            </w:r>
          </w:p>
        </w:tc>
        <w:tc>
          <w:tcPr>
            <w:tcW w:w="8124" w:type="dxa"/>
          </w:tcPr>
          <w:p w:rsidR="00FB4AE6" w:rsidRDefault="00FB4AE6" w:rsidP="00FB4AE6">
            <w:pPr>
              <w:pStyle w:val="TableText"/>
            </w:pPr>
            <w:r>
              <w:t>Draw evidence from literary or informational texts to support analysis, reflection, and research.</w:t>
            </w:r>
          </w:p>
          <w:p w:rsidR="000418C1" w:rsidRPr="000418C1" w:rsidRDefault="002E0B17" w:rsidP="00FB4AE6">
            <w:pPr>
              <w:pStyle w:val="SubStandard"/>
              <w:rPr>
                <w:rFonts w:asciiTheme="minorHAnsi" w:eastAsia="Times New Roman" w:hAnsiTheme="minorHAnsi"/>
              </w:rPr>
            </w:pPr>
            <w:r>
              <w:t xml:space="preserve">Apply </w:t>
            </w:r>
            <w:r w:rsidR="00FB4AE6" w:rsidRPr="000939F0">
              <w:rPr>
                <w:i/>
                <w:iCs/>
              </w:rPr>
              <w:t>grades 9</w:t>
            </w:r>
            <w:r w:rsidR="00FB4AE6">
              <w:rPr>
                <w:i/>
                <w:iCs/>
              </w:rPr>
              <w:t>–</w:t>
            </w:r>
            <w:r w:rsidR="00FB4AE6" w:rsidRPr="000939F0">
              <w:rPr>
                <w:i/>
                <w:iCs/>
              </w:rPr>
              <w:t>10 Reading standards</w:t>
            </w:r>
            <w:r w:rsidR="00FB4AE6" w:rsidRPr="000939F0">
              <w:t> to literary nonfiction (e.g., "Delineate and evaluate the argument and specific claims in a text, assessing whether the reasoning is valid and the evidence is relevant and sufficient; identify false statements and fallacious reasoning").</w:t>
            </w:r>
          </w:p>
        </w:tc>
      </w:tr>
      <w:tr w:rsidR="00436C75" w:rsidRPr="0053542D">
        <w:tc>
          <w:tcPr>
            <w:tcW w:w="1344" w:type="dxa"/>
          </w:tcPr>
          <w:p w:rsidR="00436C75" w:rsidRPr="000418C1" w:rsidRDefault="00436C75" w:rsidP="00436C75">
            <w:pPr>
              <w:pStyle w:val="TableText"/>
              <w:rPr>
                <w:rFonts w:asciiTheme="minorHAnsi" w:hAnsiTheme="minorHAnsi"/>
              </w:rPr>
            </w:pPr>
            <w:r w:rsidRPr="004760BF">
              <w:t>SL.9-10.1</w:t>
            </w:r>
          </w:p>
        </w:tc>
        <w:tc>
          <w:tcPr>
            <w:tcW w:w="8124" w:type="dxa"/>
          </w:tcPr>
          <w:p w:rsidR="00436C75" w:rsidRDefault="00436C75" w:rsidP="00436C75">
            <w:pPr>
              <w:pStyle w:val="TableText"/>
            </w:pPr>
            <w:r w:rsidRPr="0074767E">
              <w:t xml:space="preserve">Initiate and participate effectively in a range of collaborative discussions (one-on-one, in groups, and teacher-led) with diverse partners on </w:t>
            </w:r>
            <w:r w:rsidRPr="00AF59AE">
              <w:rPr>
                <w:i/>
              </w:rPr>
              <w:t>grades 9–10 topics, texts, and issues,</w:t>
            </w:r>
            <w:r w:rsidRPr="0074767E">
              <w:t xml:space="preserve"> building on others’ ideas and expressing their own clearly and persuasively.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4760BF" w:rsidRDefault="004760BF" w:rsidP="0074767E">
            <w:pPr>
              <w:pStyle w:val="TableText"/>
            </w:pPr>
            <w:r>
              <w:t xml:space="preserve">Student learning </w:t>
            </w:r>
            <w:r w:rsidR="00AB7D16">
              <w:t>is</w:t>
            </w:r>
            <w:r>
              <w:t xml:space="preserve"> assessed via a Quick Write at the end of the lesson. Students answer the following prompt, citing textual evidence to support analysis and inferences drawn from the text. </w:t>
            </w:r>
          </w:p>
          <w:p w:rsidR="00B231AA" w:rsidRDefault="00CF149A" w:rsidP="00CF149A">
            <w:pPr>
              <w:pStyle w:val="BulletedList"/>
            </w:pPr>
            <w:r w:rsidRPr="00CF149A">
              <w:t xml:space="preserve">Evaluate Skloot's </w:t>
            </w:r>
            <w:r w:rsidR="00D45DDF">
              <w:t>claim</w:t>
            </w:r>
            <w:r w:rsidRPr="00CF149A">
              <w:t xml:space="preserve"> in paragraph 4 on page 130, and determine whether the evidence in the rest of the </w:t>
            </w:r>
            <w:r w:rsidR="00916B0C">
              <w:t>excerpt</w:t>
            </w:r>
            <w:r w:rsidRPr="00CF149A">
              <w:t xml:space="preserve"> is relevant and suffici</w:t>
            </w:r>
            <w:r>
              <w:t xml:space="preserve">ent to support her </w:t>
            </w:r>
            <w:r w:rsidR="00D45DDF">
              <w:t>claim</w:t>
            </w:r>
            <w:r w:rsidRPr="00CF149A">
              <w:t>.</w:t>
            </w:r>
          </w:p>
          <w:p w:rsidR="00AB7D16" w:rsidRPr="003908D2" w:rsidRDefault="00836287" w:rsidP="00CB3CFE">
            <w:pPr>
              <w:pStyle w:val="IN"/>
            </w:pPr>
            <w:r>
              <w:t>Students should write their</w:t>
            </w:r>
            <w:r w:rsidR="00A514FF">
              <w:t xml:space="preserve"> Quick Write </w:t>
            </w:r>
            <w:r>
              <w:t>responses</w:t>
            </w:r>
            <w:r w:rsidR="00A514FF">
              <w:t xml:space="preserve"> directly on the Lesson 6 Evidence </w:t>
            </w:r>
            <w:r w:rsidR="00E446CB">
              <w:t xml:space="preserve">Collection </w:t>
            </w:r>
            <w:r w:rsidR="00A514FF">
              <w:t xml:space="preserve">Tool.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74767E" w:rsidP="008151E5">
            <w:pPr>
              <w:pStyle w:val="TableText"/>
            </w:pPr>
            <w:r>
              <w:t>A H</w:t>
            </w:r>
            <w:r w:rsidR="00BE4EBD">
              <w:t xml:space="preserve">igh </w:t>
            </w:r>
            <w:r>
              <w:t>P</w:t>
            </w:r>
            <w:r w:rsidR="00BE4EBD">
              <w:t xml:space="preserve">erformance </w:t>
            </w:r>
            <w:r>
              <w:t>R</w:t>
            </w:r>
            <w:r w:rsidR="00850CE6">
              <w:t>esponse</w:t>
            </w:r>
            <w:r w:rsidR="00042452">
              <w:t xml:space="preserve"> should</w:t>
            </w:r>
            <w:r w:rsidR="00BE4EBD">
              <w:t>:</w:t>
            </w:r>
          </w:p>
          <w:p w:rsidR="00D920A6" w:rsidRPr="003908D2" w:rsidRDefault="002817B0" w:rsidP="00102865">
            <w:pPr>
              <w:pStyle w:val="BulletedList"/>
            </w:pPr>
            <w:r>
              <w:t>See</w:t>
            </w:r>
            <w:r w:rsidR="00366918">
              <w:t xml:space="preserve"> Model Lesson 6</w:t>
            </w:r>
            <w:r>
              <w:t xml:space="preserve"> Evidence Tool </w:t>
            </w:r>
            <w:r w:rsidR="00102865">
              <w:t>for High Performance Responses</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CD5B1A" w:rsidRPr="00CD5B1A" w:rsidRDefault="00CD5B1A" w:rsidP="00CD5B1A">
            <w:pPr>
              <w:pStyle w:val="BulletedList"/>
            </w:pPr>
            <w:r w:rsidRPr="00CD5B1A">
              <w:t>inoculation (n.) – introduction of (the causative agent of disease) into the body of (a person or animal), in order to induce immunity</w:t>
            </w:r>
          </w:p>
          <w:p w:rsidR="00CD5B1A" w:rsidRPr="00CD5B1A" w:rsidRDefault="00CD5B1A" w:rsidP="00CD5B1A">
            <w:pPr>
              <w:pStyle w:val="BulletedList"/>
            </w:pPr>
            <w:r w:rsidRPr="00CD5B1A">
              <w:t xml:space="preserve">immune system (n.) – a diffuse, complex network of interacting cells, cell products, and cell-forming tissues that protects the body from pathogens and other foreign substances, destroys infected and malignant cells, and removes cellular debris </w:t>
            </w:r>
          </w:p>
          <w:p w:rsidR="00CD5B1A" w:rsidRPr="00CD5B1A" w:rsidRDefault="00CD5B1A" w:rsidP="00CD5B1A">
            <w:pPr>
              <w:pStyle w:val="BulletedList"/>
            </w:pPr>
            <w:r w:rsidRPr="00CD5B1A">
              <w:t>lymph nodes (n.) – any of the glandlike masses of tissue in the lymphatic vessels containing cells that become lymphocytes through which lymph passes to be filtered and cleaned</w:t>
            </w:r>
          </w:p>
          <w:p w:rsidR="00CD5B1A" w:rsidRPr="00CD5B1A" w:rsidRDefault="00CD5B1A" w:rsidP="00CD5B1A">
            <w:pPr>
              <w:pStyle w:val="BulletedList"/>
            </w:pPr>
            <w:r w:rsidRPr="00CD5B1A">
              <w:t>refrain (n.) – a phrase or verse recurring at intervals in a song or poem</w:t>
            </w:r>
          </w:p>
          <w:p w:rsidR="00CD5B1A" w:rsidRPr="00CD5B1A" w:rsidRDefault="00CD5B1A" w:rsidP="00CD5B1A">
            <w:pPr>
              <w:pStyle w:val="BulletedList"/>
            </w:pPr>
            <w:r w:rsidRPr="00CD5B1A">
              <w:t>diagnosis (n.) – the process of determining by examination the nature and circumstances of a diseased condition</w:t>
            </w:r>
          </w:p>
          <w:p w:rsidR="00CD5B1A" w:rsidRPr="00CD5B1A" w:rsidRDefault="00CD5B1A" w:rsidP="00CD5B1A">
            <w:pPr>
              <w:pStyle w:val="BulletedList"/>
            </w:pPr>
            <w:r w:rsidRPr="00CD5B1A">
              <w:t>dissecting (v.) – cutting apart (an animal body, plant, etc.) to examine the structure, relation of parts, or the like</w:t>
            </w:r>
          </w:p>
          <w:p w:rsidR="00CD5B1A" w:rsidRPr="00CD5B1A" w:rsidRDefault="00CD5B1A" w:rsidP="00CD5B1A">
            <w:pPr>
              <w:pStyle w:val="BulletedList"/>
            </w:pPr>
            <w:r w:rsidRPr="00CD5B1A">
              <w:t>ethical boundaries (n.) – the limits of accepted principles of right and wrong that govern the conduct of a profession</w:t>
            </w:r>
          </w:p>
          <w:p w:rsidR="00CD5B1A" w:rsidRPr="00CD5B1A" w:rsidRDefault="00CD5B1A" w:rsidP="00CD5B1A">
            <w:pPr>
              <w:pStyle w:val="BulletedList"/>
            </w:pPr>
            <w:r w:rsidRPr="00CD5B1A">
              <w:t>civil courts (n.) – courts of law in which civil cases (private and civilian affairs) are tried and determined</w:t>
            </w:r>
          </w:p>
          <w:p w:rsidR="00CD5B1A" w:rsidRPr="00CD5B1A" w:rsidRDefault="00CD5B1A" w:rsidP="00CD5B1A">
            <w:pPr>
              <w:pStyle w:val="BulletedList"/>
              <w:rPr>
                <w:rFonts w:ascii="Times" w:hAnsi="Times"/>
                <w:sz w:val="20"/>
                <w:szCs w:val="20"/>
              </w:rPr>
            </w:pPr>
            <w:r w:rsidRPr="00CD5B1A">
              <w:t xml:space="preserve">inalienable rights (n.) – that which is due to anyone by just claim, legal guarantees, moral principles, etc., and cannot be </w:t>
            </w:r>
            <w:r w:rsidRPr="00CD5B1A">
              <w:rPr>
                <w:rFonts w:asciiTheme="minorHAnsi" w:eastAsia="Times New Roman" w:hAnsiTheme="minorHAnsi"/>
              </w:rPr>
              <w:t xml:space="preserve">transferred to another without consent (e.g., rights of liberty or of </w:t>
            </w:r>
            <w:r w:rsidRPr="00CD5B1A">
              <w:rPr>
                <w:rFonts w:asciiTheme="minorHAnsi" w:eastAsia="Times New Roman" w:hAnsiTheme="minorHAnsi"/>
              </w:rPr>
              <w:lastRenderedPageBreak/>
              <w:t>speech)</w:t>
            </w:r>
          </w:p>
          <w:p w:rsidR="00CD5B1A" w:rsidRPr="00FA6796" w:rsidRDefault="00CD5B1A" w:rsidP="00CD5B1A">
            <w:pPr>
              <w:pStyle w:val="IN"/>
              <w:rPr>
                <w:rFonts w:ascii="Times" w:hAnsi="Times"/>
                <w:sz w:val="20"/>
                <w:szCs w:val="20"/>
              </w:rPr>
            </w:pPr>
            <w:r>
              <w:t>Students were given these terms in 10.3.1 Lesson 5.</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Vocabulary to teach (may include direct word work and/or questions)</w:t>
            </w:r>
          </w:p>
        </w:tc>
      </w:tr>
      <w:tr w:rsidR="00B231AA">
        <w:tc>
          <w:tcPr>
            <w:tcW w:w="9450" w:type="dxa"/>
          </w:tcPr>
          <w:p w:rsidR="00CD5B1A" w:rsidRPr="00CD5B1A" w:rsidRDefault="00CD5B1A" w:rsidP="00CD5B1A">
            <w:pPr>
              <w:pStyle w:val="BulletedList"/>
            </w:pPr>
            <w:r w:rsidRPr="00CD5B1A">
              <w:t>informed consent (n.) – a patient’s consent to a medical or surgical procedure or to participation in a clinical study after being properly advised of the relevant medical facts and the risks involved</w:t>
            </w:r>
          </w:p>
          <w:p w:rsidR="00B231AA" w:rsidRPr="00B231AA" w:rsidRDefault="00CD5B1A" w:rsidP="00CD5B1A">
            <w:pPr>
              <w:pStyle w:val="BulletedList"/>
            </w:pPr>
            <w:r w:rsidRPr="00CD5B1A">
              <w:t>human experimentation (n.) – a test or procedure carried out on a person under controlled conditions to determine the validity of a theory or make a discovery</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385EBA">
              <w:t xml:space="preserve">RI.9-10.8, </w:t>
            </w:r>
            <w:r w:rsidR="000C55BD">
              <w:t>SL.9-10.1</w:t>
            </w:r>
            <w:r w:rsidR="00D84782">
              <w:t>, W.9-10.9.b</w:t>
            </w:r>
          </w:p>
          <w:p w:rsidR="00730123" w:rsidRDefault="004B7C07" w:rsidP="00AD1A8C">
            <w:pPr>
              <w:pStyle w:val="BulletedList"/>
            </w:pPr>
            <w:r>
              <w:t xml:space="preserve">Text: </w:t>
            </w:r>
            <w:r w:rsidR="000C55BD">
              <w:rPr>
                <w:i/>
              </w:rPr>
              <w:t>The Immortal Life of Henrietta Lacks</w:t>
            </w:r>
            <w:r w:rsidR="000C55BD">
              <w:t xml:space="preserve">, </w:t>
            </w:r>
            <w:r w:rsidR="00AD1A8C">
              <w:t>pp.</w:t>
            </w:r>
            <w:r w:rsidR="000C55BD">
              <w:t xml:space="preserve"> 127</w:t>
            </w:r>
            <w:r w:rsidR="00D92E0C" w:rsidRPr="006D1729">
              <w:t>–</w:t>
            </w:r>
            <w:r w:rsidR="000C55BD">
              <w:t>136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9A2D2D" w:rsidP="00546D71">
            <w:pPr>
              <w:pStyle w:val="NumberedList"/>
            </w:pPr>
            <w:r>
              <w:t>Identifying and Delineating Arguments</w:t>
            </w:r>
          </w:p>
          <w:p w:rsidR="00546D71" w:rsidRDefault="00B16E6B" w:rsidP="00B16E6B">
            <w:pPr>
              <w:pStyle w:val="NumberedList"/>
            </w:pPr>
            <w:r>
              <w:t>Evidence</w:t>
            </w:r>
            <w:r w:rsidR="00656B93">
              <w:t xml:space="preserve"> Collection Tool Small</w:t>
            </w:r>
            <w:r>
              <w:t xml:space="preserve"> Group Activity</w:t>
            </w:r>
          </w:p>
          <w:p w:rsidR="00656B93" w:rsidRDefault="00656B93" w:rsidP="00B16E6B">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102865">
            <w:pPr>
              <w:pStyle w:val="NumberedList"/>
              <w:numPr>
                <w:ilvl w:val="0"/>
                <w:numId w:val="1"/>
              </w:numPr>
            </w:pPr>
            <w:r>
              <w:t>5%</w:t>
            </w:r>
          </w:p>
          <w:p w:rsidR="00546D71" w:rsidRDefault="000B2D56" w:rsidP="00546D71">
            <w:pPr>
              <w:pStyle w:val="NumberedList"/>
            </w:pPr>
            <w:r>
              <w:t>10</w:t>
            </w:r>
            <w:r w:rsidR="00546D71">
              <w:t>%</w:t>
            </w:r>
          </w:p>
          <w:p w:rsidR="00546D71" w:rsidRDefault="006D1A61" w:rsidP="00546D71">
            <w:pPr>
              <w:pStyle w:val="NumberedList"/>
            </w:pPr>
            <w:r>
              <w:t>30</w:t>
            </w:r>
            <w:r w:rsidR="00546D71">
              <w:t>%</w:t>
            </w:r>
          </w:p>
          <w:p w:rsidR="00546D71" w:rsidRDefault="00656B93" w:rsidP="00546D71">
            <w:pPr>
              <w:pStyle w:val="NumberedList"/>
            </w:pPr>
            <w:r>
              <w:t>4</w:t>
            </w:r>
            <w:r w:rsidR="006D1A61">
              <w:t>0</w:t>
            </w:r>
            <w:r w:rsidR="00546D71">
              <w:t>%</w:t>
            </w:r>
          </w:p>
          <w:p w:rsidR="00656B93" w:rsidRDefault="00656B93" w:rsidP="00546D71">
            <w:pPr>
              <w:pStyle w:val="NumberedList"/>
            </w:pPr>
            <w:r>
              <w:t>10%</w:t>
            </w:r>
          </w:p>
          <w:p w:rsidR="00546D71" w:rsidRPr="00C02EC2" w:rsidRDefault="006D1A61" w:rsidP="006D1A61">
            <w:pPr>
              <w:pStyle w:val="NumberedList"/>
            </w:pPr>
            <w:r>
              <w:t>5%</w:t>
            </w:r>
          </w:p>
        </w:tc>
      </w:tr>
    </w:tbl>
    <w:p w:rsidR="003368BF" w:rsidRDefault="00F308FF" w:rsidP="00E946A0">
      <w:pPr>
        <w:pStyle w:val="Heading1"/>
      </w:pPr>
      <w:r>
        <w:t>Materials</w:t>
      </w:r>
    </w:p>
    <w:p w:rsidR="00515BE9" w:rsidRDefault="006D1A61" w:rsidP="00410D18">
      <w:pPr>
        <w:pStyle w:val="BulletedList"/>
      </w:pPr>
      <w:r>
        <w:t xml:space="preserve">Copies of the </w:t>
      </w:r>
      <w:r w:rsidR="002817B0">
        <w:t xml:space="preserve">Lesson 6 </w:t>
      </w:r>
      <w:r w:rsidR="009A2D2D">
        <w:t>Evidence</w:t>
      </w:r>
      <w:r w:rsidR="00515BE9">
        <w:t xml:space="preserve"> </w:t>
      </w:r>
      <w:r w:rsidR="008D4D86">
        <w:t xml:space="preserve">Collection </w:t>
      </w:r>
      <w:r w:rsidR="00515BE9">
        <w:t>Tool</w:t>
      </w:r>
      <w:r>
        <w:t xml:space="preserve"> for each student</w:t>
      </w:r>
    </w:p>
    <w:p w:rsidR="004D37FC" w:rsidRPr="006E7D3C" w:rsidRDefault="004D37FC" w:rsidP="00410D18">
      <w:pPr>
        <w:pStyle w:val="BulletedList"/>
      </w:pPr>
      <w:r>
        <w:t xml:space="preserve">Student </w:t>
      </w:r>
      <w:r w:rsidR="00516FA7">
        <w:t>c</w:t>
      </w:r>
      <w:r>
        <w:t xml:space="preserve">opies of the Short Response Rubric and Checklist (refer </w:t>
      </w:r>
      <w:r w:rsidR="00516FA7">
        <w:t xml:space="preserve">to </w:t>
      </w:r>
      <w:r>
        <w:t>10.3.1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4760B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4760B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4760BF">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4760BF">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4760BF">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4760BF">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4760BF">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4760BF">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3524A" w:rsidRDefault="00B3524A" w:rsidP="00B3524A">
      <w:pPr>
        <w:pStyle w:val="TA"/>
      </w:pPr>
      <w:r>
        <w:t xml:space="preserve">Begin by reviewing the agenda and assessed standard for this lesson: RI.9-10.8. Explain that </w:t>
      </w:r>
      <w:r w:rsidR="00D84782">
        <w:t xml:space="preserve">in this lesson, </w:t>
      </w:r>
      <w:r>
        <w:t>students</w:t>
      </w:r>
      <w:r w:rsidR="00176388">
        <w:t xml:space="preserve"> review argumentation</w:t>
      </w:r>
      <w:r w:rsidR="00CA7056">
        <w:t>,</w:t>
      </w:r>
      <w:r w:rsidR="00176388">
        <w:t xml:space="preserve"> </w:t>
      </w:r>
      <w:r w:rsidR="00B57328">
        <w:t>delineate an argument in Skloot’s text by identifying claims</w:t>
      </w:r>
      <w:r w:rsidR="00CA7056">
        <w:t>,</w:t>
      </w:r>
      <w:r w:rsidR="00176388">
        <w:t xml:space="preserve"> </w:t>
      </w:r>
      <w:r w:rsidR="00CA7056">
        <w:t>and learn</w:t>
      </w:r>
      <w:r w:rsidR="00176388">
        <w:t xml:space="preserve"> about relevant and sufficient evidence. Students analyze a paragraph </w:t>
      </w:r>
      <w:r>
        <w:t xml:space="preserve">of </w:t>
      </w:r>
      <w:r w:rsidRPr="0016015D">
        <w:rPr>
          <w:i/>
        </w:rPr>
        <w:t>The Immortal Life of Henrietta Lacks</w:t>
      </w:r>
      <w:r>
        <w:t xml:space="preserve"> </w:t>
      </w:r>
      <w:r w:rsidR="00CA7056">
        <w:t>on page</w:t>
      </w:r>
      <w:r w:rsidR="00176388">
        <w:t xml:space="preserve"> 130</w:t>
      </w:r>
      <w:r w:rsidR="00CA7056">
        <w:t>,</w:t>
      </w:r>
      <w:r w:rsidR="007653C8">
        <w:t xml:space="preserve"> </w:t>
      </w:r>
      <w:r>
        <w:t>with a focus on how Skloot supports her argument</w:t>
      </w:r>
      <w:r w:rsidR="00176388">
        <w:t xml:space="preserve"> in </w:t>
      </w:r>
      <w:r w:rsidR="00CA7056">
        <w:t>pages</w:t>
      </w:r>
      <w:r w:rsidR="00176388">
        <w:t xml:space="preserve"> 127</w:t>
      </w:r>
      <w:r w:rsidR="00516FA7" w:rsidRPr="006D1729">
        <w:t>–</w:t>
      </w:r>
      <w:r w:rsidR="00176388">
        <w:t>136</w:t>
      </w:r>
      <w:r w:rsidR="007653C8">
        <w:t xml:space="preserve"> of </w:t>
      </w:r>
      <w:r w:rsidR="00176388">
        <w:t xml:space="preserve">the </w:t>
      </w:r>
      <w:r w:rsidR="007653C8">
        <w:t>text</w:t>
      </w:r>
      <w:r>
        <w:t xml:space="preserve">. </w:t>
      </w:r>
    </w:p>
    <w:p w:rsidR="00B3524A" w:rsidRDefault="00B3524A" w:rsidP="00B3524A">
      <w:pPr>
        <w:pStyle w:val="SA"/>
      </w:pPr>
      <w:r w:rsidRPr="00634668">
        <w:t xml:space="preserve">Students </w:t>
      </w:r>
      <w:r w:rsidR="00DA4857">
        <w:t>look at the agenda</w:t>
      </w:r>
      <w:r w:rsidRPr="00634668">
        <w:t>.</w:t>
      </w:r>
    </w:p>
    <w:p w:rsidR="00916B0C" w:rsidRPr="00952FFC" w:rsidRDefault="00916B0C" w:rsidP="00675D00">
      <w:pPr>
        <w:pStyle w:val="IN"/>
      </w:pPr>
      <w:r>
        <w:t>Students were introduced to argumentation in Modules 9.4 and 10.2.</w:t>
      </w:r>
    </w:p>
    <w:p w:rsidR="000B2D56" w:rsidRDefault="000B2D56" w:rsidP="00CE2836">
      <w:pPr>
        <w:pStyle w:val="LearningSequenceHeader"/>
      </w:pPr>
      <w:r>
        <w:t>Activity 2</w:t>
      </w:r>
      <w:r w:rsidRPr="000B2D56">
        <w:t xml:space="preserve">: </w:t>
      </w:r>
      <w:r>
        <w:t>Homework Accountability</w:t>
      </w:r>
      <w:r>
        <w:tab/>
        <w:t>10</w:t>
      </w:r>
      <w:r w:rsidRPr="000B2D56">
        <w:t>%</w:t>
      </w:r>
    </w:p>
    <w:p w:rsidR="00B3524A" w:rsidRDefault="004855C5" w:rsidP="00442171">
      <w:pPr>
        <w:pStyle w:val="TA"/>
      </w:pPr>
      <w:r>
        <w:t>Instruct students to Turn-and-Talk with a classmate and briefly share two inquiry questions they refi</w:t>
      </w:r>
      <w:r w:rsidR="00FA6796">
        <w:t>ned and selected for homework.</w:t>
      </w:r>
    </w:p>
    <w:p w:rsidR="004855C5" w:rsidRDefault="004855C5" w:rsidP="004855C5">
      <w:pPr>
        <w:pStyle w:val="SA"/>
      </w:pPr>
      <w:r>
        <w:t xml:space="preserve">Students Turn-and-Talk with a classmate, discussing their </w:t>
      </w:r>
      <w:r w:rsidR="00544C94">
        <w:t>inquiry questions.</w:t>
      </w:r>
    </w:p>
    <w:p w:rsidR="00CA7056" w:rsidRDefault="00544C94" w:rsidP="000B2D56">
      <w:pPr>
        <w:pStyle w:val="SR"/>
      </w:pPr>
      <w:r>
        <w:t xml:space="preserve">Student responses may include: </w:t>
      </w:r>
    </w:p>
    <w:p w:rsidR="00CA7056" w:rsidRDefault="00544C94" w:rsidP="00CA7056">
      <w:pPr>
        <w:pStyle w:val="SASRBullet"/>
      </w:pPr>
      <w:r>
        <w:t xml:space="preserve">What are other important cases of human experimentation? </w:t>
      </w:r>
    </w:p>
    <w:p w:rsidR="000B2D56" w:rsidRDefault="00544C94" w:rsidP="00CA7056">
      <w:pPr>
        <w:pStyle w:val="SASRBullet"/>
      </w:pPr>
      <w:r>
        <w:t xml:space="preserve">What have been the benefits of human experimentation? </w:t>
      </w:r>
    </w:p>
    <w:p w:rsidR="004D195D" w:rsidRDefault="004D195D" w:rsidP="004D195D">
      <w:pPr>
        <w:pStyle w:val="TA"/>
      </w:pPr>
      <w:r>
        <w:t>I</w:t>
      </w:r>
      <w:r w:rsidRPr="00634668">
        <w:t xml:space="preserve">nstruct students to Turn-and-Talk with a classmate about the </w:t>
      </w:r>
      <w:r>
        <w:t>writing prompt they completed for homework (</w:t>
      </w:r>
      <w:r w:rsidR="009C194A" w:rsidRPr="009C194A">
        <w:t xml:space="preserve">What conclusions can you draw between the representation of HeLa in this </w:t>
      </w:r>
      <w:r w:rsidR="00916B0C">
        <w:t>excerpt</w:t>
      </w:r>
      <w:r w:rsidR="009C194A" w:rsidRPr="009C194A">
        <w:t xml:space="preserve"> </w:t>
      </w:r>
      <w:r w:rsidR="00D12467">
        <w:t xml:space="preserve">(“Illegal, Immoral, and Deplorable”) </w:t>
      </w:r>
      <w:r w:rsidR="009C194A" w:rsidRPr="009C194A">
        <w:t>versus the representation of H</w:t>
      </w:r>
      <w:r w:rsidR="009C194A">
        <w:t>eLa in “The HeLa Factory”?</w:t>
      </w:r>
      <w:r>
        <w:t>).</w:t>
      </w:r>
    </w:p>
    <w:p w:rsidR="004D195D" w:rsidRDefault="004D195D" w:rsidP="004D195D">
      <w:pPr>
        <w:pStyle w:val="SA"/>
      </w:pPr>
      <w:r>
        <w:t>Students Turn-and-Talk with a classmate, discussing their answer to the previous lesson’s prompt.</w:t>
      </w:r>
    </w:p>
    <w:p w:rsidR="00CA7056" w:rsidRDefault="00CA7056" w:rsidP="004D195D">
      <w:pPr>
        <w:pStyle w:val="SR"/>
      </w:pPr>
      <w:r>
        <w:t>In “Illegal, Immoral, and Deplorable” doctors experimented on cancer patients using HeLa cells and caused “HeLa tumors” (p. 128). HeLa cells were used in dangerous ways on people. In “The HeLa Factory” HeLa cells are used for scientific discovery; in one case “to help stop polio” (p. 93) by being used to test a vaccine. This polio vaccine was developed using HeLa and “helped save the lives of millions of Americans” (p. 97).</w:t>
      </w:r>
      <w:r w:rsidR="004D195D">
        <w:t xml:space="preserve"> </w:t>
      </w:r>
    </w:p>
    <w:p w:rsidR="000B2D56" w:rsidRDefault="000B2D56" w:rsidP="00CE2836">
      <w:pPr>
        <w:pStyle w:val="LearningSequenceHeader"/>
      </w:pPr>
      <w:r w:rsidRPr="000B2D56">
        <w:t xml:space="preserve">Activity </w:t>
      </w:r>
      <w:r>
        <w:t>3</w:t>
      </w:r>
      <w:r w:rsidRPr="000B2D56">
        <w:t xml:space="preserve">: </w:t>
      </w:r>
      <w:r w:rsidR="000D2EA8">
        <w:t>Identifying and Delineating Arguments</w:t>
      </w:r>
      <w:r w:rsidR="009F5212">
        <w:tab/>
        <w:t>30</w:t>
      </w:r>
      <w:r w:rsidRPr="000B2D56">
        <w:t>%</w:t>
      </w:r>
    </w:p>
    <w:p w:rsidR="00FA2F40" w:rsidRDefault="00286EDE" w:rsidP="001438BA">
      <w:pPr>
        <w:pStyle w:val="TA"/>
      </w:pPr>
      <w:r>
        <w:t xml:space="preserve">Instruct students to independently reread </w:t>
      </w:r>
      <w:r w:rsidR="009A2A02">
        <w:t>the</w:t>
      </w:r>
      <w:r>
        <w:t xml:space="preserve"> paragraph</w:t>
      </w:r>
      <w:r w:rsidR="009A2A02">
        <w:t xml:space="preserve"> on page 130</w:t>
      </w:r>
      <w:r w:rsidR="00FA2F40">
        <w:t xml:space="preserve"> from “But Southam wasn’t their doctor</w:t>
      </w:r>
      <w:r w:rsidR="00E87E1A">
        <w:t>, and he wasn’t withholding upsetting health information</w:t>
      </w:r>
      <w:r w:rsidR="00FA2F40">
        <w:t xml:space="preserve">” to “to use the hospital’s patients for his research” (p. 130). </w:t>
      </w:r>
    </w:p>
    <w:p w:rsidR="00007DDA" w:rsidRDefault="00007DDA" w:rsidP="001438BA">
      <w:pPr>
        <w:pStyle w:val="SA"/>
      </w:pPr>
      <w:r>
        <w:t xml:space="preserve">Students </w:t>
      </w:r>
      <w:r w:rsidR="002E1360">
        <w:t>independently reread</w:t>
      </w:r>
      <w:r w:rsidR="00E87E1A">
        <w:t xml:space="preserve"> the paragraph on page 130.</w:t>
      </w:r>
    </w:p>
    <w:p w:rsidR="001438BA" w:rsidRPr="00675D00" w:rsidRDefault="00FD6661" w:rsidP="00442171">
      <w:pPr>
        <w:pStyle w:val="TA"/>
        <w:rPr>
          <w:rFonts w:ascii="Times" w:eastAsia="Times New Roman" w:hAnsi="Times"/>
          <w:sz w:val="20"/>
          <w:szCs w:val="20"/>
        </w:rPr>
      </w:pPr>
      <w:r>
        <w:t xml:space="preserve">Explain to students that in this lesson they </w:t>
      </w:r>
      <w:r w:rsidR="00D12467">
        <w:t>will</w:t>
      </w:r>
      <w:r>
        <w:t xml:space="preserve"> identify and </w:t>
      </w:r>
      <w:r w:rsidRPr="00286EDE">
        <w:rPr>
          <w:i/>
        </w:rPr>
        <w:t>delineat</w:t>
      </w:r>
      <w:r w:rsidR="00D12467">
        <w:rPr>
          <w:i/>
        </w:rPr>
        <w:t>e</w:t>
      </w:r>
      <w:r w:rsidR="00286EDE">
        <w:t xml:space="preserve"> Skloot’s </w:t>
      </w:r>
      <w:r w:rsidR="00D45DDF">
        <w:t>claim</w:t>
      </w:r>
      <w:r>
        <w:t xml:space="preserve"> in this</w:t>
      </w:r>
      <w:r w:rsidR="00286EDE">
        <w:t xml:space="preserve"> paragraph.</w:t>
      </w:r>
      <w:r>
        <w:t xml:space="preserve"> </w:t>
      </w:r>
      <w:r w:rsidR="00031C95">
        <w:t>Explain to students</w:t>
      </w:r>
      <w:r>
        <w:t xml:space="preserve"> that </w:t>
      </w:r>
      <w:r w:rsidR="00C47BBA" w:rsidRPr="00286EDE">
        <w:rPr>
          <w:i/>
        </w:rPr>
        <w:t>delineating</w:t>
      </w:r>
      <w:r w:rsidR="00286EDE">
        <w:t xml:space="preserve"> means </w:t>
      </w:r>
      <w:r w:rsidR="00286EDE">
        <w:rPr>
          <w:rFonts w:eastAsia="Times New Roman"/>
          <w:color w:val="000000"/>
        </w:rPr>
        <w:t xml:space="preserve">describing </w:t>
      </w:r>
      <w:r w:rsidR="0058778F">
        <w:rPr>
          <w:rFonts w:eastAsia="Times New Roman"/>
          <w:color w:val="000000"/>
        </w:rPr>
        <w:t xml:space="preserve">precisely </w:t>
      </w:r>
      <w:r w:rsidR="00286EDE" w:rsidRPr="009A2D2D">
        <w:rPr>
          <w:rFonts w:eastAsia="Times New Roman"/>
          <w:color w:val="000000"/>
        </w:rPr>
        <w:t>in words</w:t>
      </w:r>
      <w:r w:rsidR="00D12467">
        <w:rPr>
          <w:rFonts w:eastAsia="Times New Roman"/>
          <w:color w:val="000000"/>
        </w:rPr>
        <w:t xml:space="preserve">, and to </w:t>
      </w:r>
      <w:r w:rsidR="00286EDE">
        <w:rPr>
          <w:rFonts w:eastAsia="Times New Roman"/>
          <w:i/>
          <w:color w:val="000000"/>
        </w:rPr>
        <w:t xml:space="preserve">delineate </w:t>
      </w:r>
      <w:r w:rsidR="00286EDE">
        <w:rPr>
          <w:rFonts w:eastAsia="Times New Roman"/>
          <w:color w:val="000000"/>
        </w:rPr>
        <w:t>a</w:t>
      </w:r>
      <w:r w:rsidR="007F37B5">
        <w:rPr>
          <w:rFonts w:eastAsia="Times New Roman"/>
          <w:color w:val="000000"/>
        </w:rPr>
        <w:t xml:space="preserve">n argument </w:t>
      </w:r>
      <w:r w:rsidR="00286EDE" w:rsidRPr="00385EBA">
        <w:rPr>
          <w:rFonts w:asciiTheme="minorHAnsi" w:eastAsia="Times New Roman" w:hAnsiTheme="minorHAnsi"/>
          <w:color w:val="000000"/>
        </w:rPr>
        <w:t>means</w:t>
      </w:r>
      <w:r w:rsidR="007E38BF" w:rsidRPr="00385EBA">
        <w:rPr>
          <w:rFonts w:asciiTheme="minorHAnsi" w:eastAsia="Times New Roman" w:hAnsiTheme="minorHAnsi"/>
          <w:color w:val="000000"/>
        </w:rPr>
        <w:t xml:space="preserve"> </w:t>
      </w:r>
      <w:r w:rsidR="00D12467">
        <w:rPr>
          <w:rFonts w:asciiTheme="minorHAnsi" w:eastAsia="Times New Roman" w:hAnsiTheme="minorHAnsi"/>
          <w:color w:val="000000"/>
        </w:rPr>
        <w:t>“</w:t>
      </w:r>
      <w:r w:rsidR="007E38BF" w:rsidRPr="00B57328">
        <w:t>to trace or outline the argument’s central and supporting claims.</w:t>
      </w:r>
      <w:r w:rsidR="00D12467">
        <w:t>”</w:t>
      </w:r>
      <w:r w:rsidR="007E38BF" w:rsidRPr="00B57328">
        <w:t xml:space="preserve"> </w:t>
      </w:r>
      <w:r w:rsidR="001B6CD0" w:rsidRPr="00B57328">
        <w:t>For example, in the text</w:t>
      </w:r>
      <w:r w:rsidR="0058778F" w:rsidRPr="00B57328">
        <w:t>,</w:t>
      </w:r>
      <w:r w:rsidR="00D84782" w:rsidRPr="00B57328">
        <w:t xml:space="preserve"> Skloot makes a central claim that </w:t>
      </w:r>
      <w:r w:rsidR="001B6CD0" w:rsidRPr="00B57328">
        <w:t xml:space="preserve">doctors and researchers </w:t>
      </w:r>
      <w:r w:rsidR="00710019" w:rsidRPr="00B57328">
        <w:t>opposed</w:t>
      </w:r>
      <w:r w:rsidR="001B6CD0" w:rsidRPr="00B57328">
        <w:t xml:space="preserve"> laws </w:t>
      </w:r>
      <w:r w:rsidR="00EF78E4" w:rsidRPr="00B57328">
        <w:t>“</w:t>
      </w:r>
      <w:r w:rsidR="001B6CD0" w:rsidRPr="00B57328">
        <w:t>regulating human experimentation</w:t>
      </w:r>
      <w:r w:rsidR="00EF78E4" w:rsidRPr="00B57328">
        <w:t>”</w:t>
      </w:r>
      <w:r w:rsidR="001B6CD0" w:rsidRPr="00B57328">
        <w:t xml:space="preserve"> (p. 131).</w:t>
      </w:r>
      <w:r w:rsidR="001B6CD0" w:rsidRPr="00675D00">
        <w:rPr>
          <w:rFonts w:asciiTheme="minorHAnsi" w:eastAsia="Times New Roman" w:hAnsiTheme="minorHAnsi"/>
          <w:color w:val="000000"/>
        </w:rPr>
        <w:t xml:space="preserve"> To</w:t>
      </w:r>
      <w:r w:rsidR="001B6CD0">
        <w:rPr>
          <w:rFonts w:eastAsia="Times New Roman"/>
          <w:color w:val="000000"/>
        </w:rPr>
        <w:t xml:space="preserve"> </w:t>
      </w:r>
      <w:r w:rsidR="001B6CD0">
        <w:rPr>
          <w:rFonts w:eastAsia="Times New Roman"/>
          <w:i/>
          <w:color w:val="000000"/>
        </w:rPr>
        <w:t xml:space="preserve">delineate </w:t>
      </w:r>
      <w:r w:rsidR="00B57328">
        <w:rPr>
          <w:rFonts w:eastAsia="Times New Roman"/>
          <w:color w:val="000000"/>
        </w:rPr>
        <w:t>Skloot’s</w:t>
      </w:r>
      <w:r w:rsidR="001B6CD0">
        <w:rPr>
          <w:rFonts w:eastAsia="Times New Roman"/>
          <w:color w:val="000000"/>
        </w:rPr>
        <w:t xml:space="preserve"> </w:t>
      </w:r>
      <w:r w:rsidR="007F37B5">
        <w:rPr>
          <w:rFonts w:eastAsia="Times New Roman"/>
          <w:color w:val="000000"/>
        </w:rPr>
        <w:t>argument</w:t>
      </w:r>
      <w:r w:rsidR="001B6CD0">
        <w:rPr>
          <w:rFonts w:eastAsia="Times New Roman"/>
          <w:color w:val="000000"/>
        </w:rPr>
        <w:t xml:space="preserve"> </w:t>
      </w:r>
      <w:r w:rsidR="009E2F8E">
        <w:rPr>
          <w:rFonts w:eastAsia="Times New Roman"/>
          <w:color w:val="000000"/>
        </w:rPr>
        <w:t xml:space="preserve">further </w:t>
      </w:r>
      <w:r w:rsidR="001B6CD0">
        <w:rPr>
          <w:rFonts w:eastAsia="Times New Roman"/>
          <w:color w:val="000000"/>
        </w:rPr>
        <w:t xml:space="preserve">would be to </w:t>
      </w:r>
      <w:r w:rsidR="00B57328">
        <w:rPr>
          <w:rFonts w:eastAsia="Times New Roman"/>
          <w:color w:val="000000"/>
        </w:rPr>
        <w:t>identify</w:t>
      </w:r>
      <w:r w:rsidR="009E2F8E">
        <w:rPr>
          <w:rFonts w:eastAsia="Times New Roman"/>
          <w:color w:val="000000"/>
        </w:rPr>
        <w:t xml:space="preserve"> </w:t>
      </w:r>
      <w:r w:rsidR="007E38BF">
        <w:rPr>
          <w:rFonts w:eastAsia="Times New Roman"/>
          <w:color w:val="000000"/>
        </w:rPr>
        <w:t>supporting claims</w:t>
      </w:r>
      <w:r w:rsidR="00B57328">
        <w:rPr>
          <w:rFonts w:eastAsia="Times New Roman"/>
          <w:color w:val="000000"/>
        </w:rPr>
        <w:t>, such as the doctor</w:t>
      </w:r>
      <w:r w:rsidR="007F37B5">
        <w:rPr>
          <w:rFonts w:eastAsia="Times New Roman"/>
          <w:color w:val="000000"/>
        </w:rPr>
        <w:t>s</w:t>
      </w:r>
      <w:r w:rsidR="00B57328">
        <w:rPr>
          <w:rFonts w:eastAsia="Times New Roman"/>
          <w:color w:val="000000"/>
        </w:rPr>
        <w:t>’</w:t>
      </w:r>
      <w:r w:rsidR="007F37B5">
        <w:rPr>
          <w:rFonts w:eastAsia="Times New Roman"/>
          <w:color w:val="000000"/>
        </w:rPr>
        <w:t xml:space="preserve"> fear </w:t>
      </w:r>
      <w:r w:rsidR="001B6CD0">
        <w:rPr>
          <w:rFonts w:eastAsia="Times New Roman"/>
          <w:color w:val="000000"/>
        </w:rPr>
        <w:t>such laws would interfer</w:t>
      </w:r>
      <w:r w:rsidR="008B007E">
        <w:rPr>
          <w:rFonts w:eastAsia="Times New Roman"/>
          <w:color w:val="000000"/>
        </w:rPr>
        <w:t>e</w:t>
      </w:r>
      <w:r w:rsidR="001B6CD0">
        <w:rPr>
          <w:rFonts w:eastAsia="Times New Roman"/>
          <w:color w:val="000000"/>
        </w:rPr>
        <w:t xml:space="preserve"> with “the progress of science” (p. 131). </w:t>
      </w:r>
    </w:p>
    <w:p w:rsidR="00BF7380" w:rsidRDefault="00BF7380" w:rsidP="00BF7380">
      <w:pPr>
        <w:pStyle w:val="SA"/>
      </w:pPr>
      <w:r>
        <w:t xml:space="preserve">Students follow along. </w:t>
      </w:r>
    </w:p>
    <w:p w:rsidR="00592C84" w:rsidRDefault="00592C84" w:rsidP="00592C84">
      <w:pPr>
        <w:pStyle w:val="IN"/>
      </w:pPr>
      <w:r>
        <w:t xml:space="preserve">Consider reminding students of their previous work with RI.9-10.8 in Module 10.2. </w:t>
      </w:r>
    </w:p>
    <w:p w:rsidR="00592C84" w:rsidRPr="00592C84" w:rsidRDefault="00592C84" w:rsidP="00592C84">
      <w:pPr>
        <w:pStyle w:val="IN"/>
        <w:rPr>
          <w:rFonts w:ascii="Times" w:hAnsi="Times"/>
        </w:rPr>
      </w:pPr>
      <w:r w:rsidRPr="00592C84">
        <w:rPr>
          <w:shd w:val="clear" w:color="auto" w:fill="FFFFFF"/>
        </w:rPr>
        <w:t>The texts in this module do not support instruction around </w:t>
      </w:r>
      <w:r w:rsidRPr="00D12467">
        <w:rPr>
          <w:iCs/>
          <w:shd w:val="clear" w:color="auto" w:fill="FFFFFF"/>
        </w:rPr>
        <w:t>false statements</w:t>
      </w:r>
      <w:r w:rsidRPr="00D12467">
        <w:rPr>
          <w:shd w:val="clear" w:color="auto" w:fill="FFFFFF"/>
        </w:rPr>
        <w:t> or </w:t>
      </w:r>
      <w:r w:rsidRPr="00D12467">
        <w:rPr>
          <w:iCs/>
          <w:shd w:val="clear" w:color="auto" w:fill="FFFFFF"/>
        </w:rPr>
        <w:t>fallacious reasoning</w:t>
      </w:r>
      <w:r w:rsidRPr="00592C84">
        <w:rPr>
          <w:shd w:val="clear" w:color="auto" w:fill="FFFFFF"/>
        </w:rPr>
        <w:t>.</w:t>
      </w:r>
    </w:p>
    <w:p w:rsidR="00BF7380" w:rsidRDefault="009F5212" w:rsidP="00442171">
      <w:pPr>
        <w:pStyle w:val="TA"/>
      </w:pPr>
      <w:r>
        <w:t xml:space="preserve">Instruct students to briefly Turn-and-Talk with a </w:t>
      </w:r>
      <w:r w:rsidR="00213DE2">
        <w:t xml:space="preserve">classmate and discuss what </w:t>
      </w:r>
      <w:proofErr w:type="gramStart"/>
      <w:r w:rsidR="00213DE2">
        <w:t xml:space="preserve">Skloot’s </w:t>
      </w:r>
      <w:r w:rsidR="00B57328">
        <w:t xml:space="preserve">central </w:t>
      </w:r>
      <w:r w:rsidR="00D45DDF">
        <w:t>claim</w:t>
      </w:r>
      <w:r w:rsidR="00213DE2">
        <w:t xml:space="preserve"> </w:t>
      </w:r>
      <w:r w:rsidR="003A6689">
        <w:t xml:space="preserve">(the </w:t>
      </w:r>
      <w:r w:rsidR="00B57328">
        <w:t>main point</w:t>
      </w:r>
      <w:r w:rsidR="003A6689">
        <w:t xml:space="preserve"> of her argument) </w:t>
      </w:r>
      <w:r w:rsidR="00213DE2">
        <w:t>might be in th</w:t>
      </w:r>
      <w:r w:rsidR="003A1A68">
        <w:t>is paragraph, citing evidence, before engaging</w:t>
      </w:r>
      <w:proofErr w:type="gramEnd"/>
      <w:r w:rsidR="003A1A68">
        <w:t xml:space="preserve"> in a whole</w:t>
      </w:r>
      <w:r w:rsidR="00977D00">
        <w:t>-</w:t>
      </w:r>
      <w:r w:rsidR="003A1A68">
        <w:t xml:space="preserve"> class discussion.</w:t>
      </w:r>
    </w:p>
    <w:p w:rsidR="00D12467" w:rsidRDefault="003A1A68" w:rsidP="001A1298">
      <w:pPr>
        <w:pStyle w:val="SA"/>
      </w:pPr>
      <w:r>
        <w:t>Students Turn-and-Talk</w:t>
      </w:r>
      <w:r w:rsidR="00D12467">
        <w:t>.</w:t>
      </w:r>
    </w:p>
    <w:p w:rsidR="00213DE2" w:rsidRDefault="00D12467" w:rsidP="00D12467">
      <w:pPr>
        <w:pStyle w:val="TA"/>
      </w:pPr>
      <w:r>
        <w:t>Lead a brief whole-class</w:t>
      </w:r>
      <w:r w:rsidR="003A1A68">
        <w:t xml:space="preserve"> discussion</w:t>
      </w:r>
      <w:r>
        <w:t xml:space="preserve"> of student responses</w:t>
      </w:r>
      <w:r w:rsidR="003A1A68">
        <w:t>.</w:t>
      </w:r>
    </w:p>
    <w:p w:rsidR="003A1A68" w:rsidRDefault="003A1A68" w:rsidP="003A1A68">
      <w:pPr>
        <w:pStyle w:val="SR"/>
      </w:pPr>
      <w:r>
        <w:t xml:space="preserve">Student responses may include: </w:t>
      </w:r>
    </w:p>
    <w:p w:rsidR="003A1A68" w:rsidRDefault="001A1298" w:rsidP="00F06EFA">
      <w:pPr>
        <w:pStyle w:val="SASRBullet"/>
      </w:pPr>
      <w:r>
        <w:t>Southam would have continu</w:t>
      </w:r>
      <w:r w:rsidR="00031522">
        <w:t>ed his experiments indefinitely:</w:t>
      </w:r>
      <w:r>
        <w:t xml:space="preserve"> </w:t>
      </w:r>
      <w:r w:rsidR="003A1A68">
        <w:t>“Southam probably would</w:t>
      </w:r>
      <w:r w:rsidR="00723BBA">
        <w:t xml:space="preserve"> ha</w:t>
      </w:r>
      <w:r w:rsidR="003A1A68">
        <w:t>ve continued doing this for years”</w:t>
      </w:r>
      <w:r>
        <w:t xml:space="preserve"> (p. 130)</w:t>
      </w:r>
      <w:r w:rsidR="003A1A68">
        <w:t>.</w:t>
      </w:r>
    </w:p>
    <w:p w:rsidR="003A1A68" w:rsidRDefault="001A1298" w:rsidP="00F06EFA">
      <w:pPr>
        <w:pStyle w:val="SASRBullet"/>
      </w:pPr>
      <w:r>
        <w:t>Southam lied and did not explain his experiments becau</w:t>
      </w:r>
      <w:r w:rsidR="00082531">
        <w:t>se patients may not have agreed:</w:t>
      </w:r>
      <w:r>
        <w:t xml:space="preserve"> </w:t>
      </w:r>
      <w:r w:rsidR="003A1A68">
        <w:t>“The deception was for his benefit”</w:t>
      </w:r>
      <w:r>
        <w:t xml:space="preserve"> (p. 130)</w:t>
      </w:r>
      <w:r w:rsidR="003A1A68">
        <w:t>.</w:t>
      </w:r>
    </w:p>
    <w:p w:rsidR="00FF4624" w:rsidRDefault="00526C2F" w:rsidP="00FF4624">
      <w:pPr>
        <w:pStyle w:val="TA"/>
      </w:pPr>
      <w:r>
        <w:t xml:space="preserve">Explain to students that in order to determine Skloot’s </w:t>
      </w:r>
      <w:r w:rsidR="00B57328">
        <w:t xml:space="preserve">central </w:t>
      </w:r>
      <w:r w:rsidR="00D45DDF">
        <w:t>claim</w:t>
      </w:r>
      <w:r>
        <w:t xml:space="preserve"> in this paragraph</w:t>
      </w:r>
      <w:r w:rsidR="001919DE">
        <w:t>,</w:t>
      </w:r>
      <w:r>
        <w:t xml:space="preserve"> the issue encompassing her </w:t>
      </w:r>
      <w:r w:rsidR="00D45DDF">
        <w:t>claim</w:t>
      </w:r>
      <w:r>
        <w:t xml:space="preserve"> also needs to be identified. </w:t>
      </w:r>
      <w:r w:rsidR="00FF4624">
        <w:t>Ask students to volunteer an answer</w:t>
      </w:r>
      <w:r w:rsidR="00F06EFA">
        <w:t xml:space="preserve"> to this question</w:t>
      </w:r>
      <w:r w:rsidR="00FF4624">
        <w:t xml:space="preserve">: </w:t>
      </w:r>
    </w:p>
    <w:p w:rsidR="00FF4624" w:rsidRDefault="00FF4624" w:rsidP="00FF4624">
      <w:pPr>
        <w:pStyle w:val="Q"/>
      </w:pPr>
      <w:r>
        <w:t>B</w:t>
      </w:r>
      <w:r w:rsidR="00526C2F">
        <w:t>ased on the Surfacing Issues Tool and</w:t>
      </w:r>
      <w:r>
        <w:t xml:space="preserve"> reading from the previous lesson</w:t>
      </w:r>
      <w:r w:rsidR="002028FF">
        <w:t>,</w:t>
      </w:r>
      <w:r>
        <w:t xml:space="preserve"> what</w:t>
      </w:r>
      <w:r w:rsidR="00C006B5">
        <w:t xml:space="preserve"> is the</w:t>
      </w:r>
      <w:r>
        <w:t xml:space="preserve"> issue?</w:t>
      </w:r>
    </w:p>
    <w:p w:rsidR="00FF4624" w:rsidRDefault="00FF4624" w:rsidP="00FF4624">
      <w:pPr>
        <w:pStyle w:val="SR"/>
      </w:pPr>
      <w:r>
        <w:t>The issue is about informed consent because the “patients might have refused” (p. 130) if Southam</w:t>
      </w:r>
      <w:r w:rsidR="00723BBA">
        <w:t xml:space="preserve"> hadn’t been</w:t>
      </w:r>
      <w:r>
        <w:t xml:space="preserve"> “withhold</w:t>
      </w:r>
      <w:r w:rsidR="00723BBA">
        <w:t>ing</w:t>
      </w:r>
      <w:r>
        <w:t xml:space="preserve"> information” (p. 130).</w:t>
      </w:r>
    </w:p>
    <w:p w:rsidR="00FF4624" w:rsidRPr="006523BC" w:rsidRDefault="00DB77D7" w:rsidP="00442171">
      <w:pPr>
        <w:pStyle w:val="TA"/>
        <w:rPr>
          <w:rFonts w:ascii="Times" w:eastAsia="Times New Roman" w:hAnsi="Times"/>
          <w:sz w:val="20"/>
          <w:szCs w:val="20"/>
        </w:rPr>
      </w:pPr>
      <w:r>
        <w:t xml:space="preserve">Display the </w:t>
      </w:r>
      <w:r w:rsidR="00D45DDF">
        <w:t>claim</w:t>
      </w:r>
      <w:r>
        <w:t xml:space="preserve"> and issue for students. Explain to </w:t>
      </w:r>
      <w:r w:rsidR="00B12F9A">
        <w:t xml:space="preserve">students that </w:t>
      </w:r>
      <w:r w:rsidR="00B57328">
        <w:t xml:space="preserve">in addition to determining the claims in an argument, </w:t>
      </w:r>
      <w:r w:rsidR="00B12F9A">
        <w:t xml:space="preserve">another part of </w:t>
      </w:r>
      <w:r w:rsidR="00B12F9A">
        <w:rPr>
          <w:i/>
        </w:rPr>
        <w:t>delineating</w:t>
      </w:r>
      <w:r w:rsidR="00B12F9A">
        <w:t xml:space="preserve"> </w:t>
      </w:r>
      <w:r w:rsidR="006847D1">
        <w:t>an argument</w:t>
      </w:r>
      <w:r w:rsidR="001919DE">
        <w:t xml:space="preserve"> is</w:t>
      </w:r>
      <w:r w:rsidR="00D45DDF">
        <w:t xml:space="preserve"> </w:t>
      </w:r>
      <w:r w:rsidR="00B57328">
        <w:t>evaluating</w:t>
      </w:r>
      <w:r w:rsidR="006847D1">
        <w:t xml:space="preserve"> the e</w:t>
      </w:r>
      <w:r w:rsidR="00D45DDF">
        <w:t xml:space="preserve">vidence </w:t>
      </w:r>
      <w:r w:rsidR="00B57328">
        <w:t xml:space="preserve">used </w:t>
      </w:r>
      <w:r w:rsidR="00D45DDF">
        <w:t>to support those claims</w:t>
      </w:r>
      <w:r w:rsidR="006847D1">
        <w:t xml:space="preserve">. </w:t>
      </w:r>
      <w:r w:rsidR="00B57328">
        <w:t>It</w:t>
      </w:r>
      <w:r w:rsidR="004D41D2">
        <w:t xml:space="preserve"> is important that the evidence used is both </w:t>
      </w:r>
      <w:r w:rsidR="004D41D2" w:rsidRPr="009607D5">
        <w:rPr>
          <w:i/>
        </w:rPr>
        <w:t>relevant</w:t>
      </w:r>
      <w:r w:rsidR="004D41D2">
        <w:t xml:space="preserve">, which means </w:t>
      </w:r>
      <w:r w:rsidR="00082531">
        <w:t xml:space="preserve">“related </w:t>
      </w:r>
      <w:r w:rsidR="00B57328">
        <w:t>to</w:t>
      </w:r>
      <w:r w:rsidR="004D41D2" w:rsidRPr="009F77E5">
        <w:t xml:space="preserve"> </w:t>
      </w:r>
      <w:r w:rsidR="004D41D2">
        <w:t>the issue</w:t>
      </w:r>
      <w:r w:rsidR="00082531">
        <w:t xml:space="preserve"> in an appropriate way</w:t>
      </w:r>
      <w:r w:rsidR="004D41D2">
        <w:t>,</w:t>
      </w:r>
      <w:r w:rsidR="00082531">
        <w:t>”</w:t>
      </w:r>
      <w:r w:rsidR="004D41D2">
        <w:t xml:space="preserve"> and </w:t>
      </w:r>
      <w:r w:rsidR="004D41D2" w:rsidRPr="009607D5">
        <w:rPr>
          <w:i/>
        </w:rPr>
        <w:t>sufficient</w:t>
      </w:r>
      <w:r w:rsidR="004D41D2">
        <w:t xml:space="preserve">, which </w:t>
      </w:r>
      <w:r w:rsidR="004D41D2" w:rsidRPr="00675D00">
        <w:rPr>
          <w:rFonts w:asciiTheme="minorHAnsi" w:hAnsiTheme="minorHAnsi"/>
        </w:rPr>
        <w:t>means</w:t>
      </w:r>
      <w:r w:rsidR="006523BC" w:rsidRPr="00675D00">
        <w:rPr>
          <w:rFonts w:asciiTheme="minorHAnsi" w:hAnsiTheme="minorHAnsi"/>
        </w:rPr>
        <w:t xml:space="preserve"> </w:t>
      </w:r>
      <w:r w:rsidR="00082531">
        <w:rPr>
          <w:rFonts w:asciiTheme="minorHAnsi" w:hAnsiTheme="minorHAnsi"/>
        </w:rPr>
        <w:t>“</w:t>
      </w:r>
      <w:r w:rsidR="006523BC" w:rsidRPr="00675D00">
        <w:rPr>
          <w:rFonts w:asciiTheme="minorHAnsi" w:eastAsia="Times New Roman" w:hAnsiTheme="minorHAnsi" w:cs="Arial"/>
          <w:color w:val="000000"/>
        </w:rPr>
        <w:t>adequate for the purpose</w:t>
      </w:r>
      <w:r w:rsidR="00082531">
        <w:rPr>
          <w:rFonts w:asciiTheme="minorHAnsi" w:eastAsia="Times New Roman" w:hAnsiTheme="minorHAnsi" w:cs="Arial"/>
          <w:color w:val="000000"/>
        </w:rPr>
        <w:t>,</w:t>
      </w:r>
      <w:r w:rsidR="006523BC" w:rsidRPr="00675D00">
        <w:rPr>
          <w:rFonts w:asciiTheme="minorHAnsi" w:eastAsia="Times New Roman" w:hAnsiTheme="minorHAnsi" w:cs="Arial"/>
          <w:color w:val="000000"/>
        </w:rPr>
        <w:t xml:space="preserve"> or enough.</w:t>
      </w:r>
      <w:r w:rsidR="00082531">
        <w:rPr>
          <w:rFonts w:asciiTheme="minorHAnsi" w:eastAsia="Times New Roman" w:hAnsiTheme="minorHAnsi" w:cs="Arial"/>
          <w:color w:val="000000"/>
        </w:rPr>
        <w:t>”</w:t>
      </w:r>
      <w:r w:rsidR="006523BC" w:rsidRPr="00675D00">
        <w:rPr>
          <w:rFonts w:asciiTheme="minorHAnsi" w:eastAsia="Times New Roman" w:hAnsiTheme="minorHAnsi" w:cs="Arial"/>
          <w:color w:val="000000"/>
        </w:rPr>
        <w:t xml:space="preserve"> </w:t>
      </w:r>
      <w:r w:rsidR="00B57328">
        <w:rPr>
          <w:rFonts w:asciiTheme="minorHAnsi" w:hAnsiTheme="minorHAnsi"/>
          <w:i/>
        </w:rPr>
        <w:t>R</w:t>
      </w:r>
      <w:r w:rsidR="00B86333" w:rsidRPr="00675D00">
        <w:rPr>
          <w:rFonts w:asciiTheme="minorHAnsi" w:hAnsiTheme="minorHAnsi"/>
          <w:i/>
        </w:rPr>
        <w:t>elevant</w:t>
      </w:r>
      <w:r w:rsidR="00B86333" w:rsidRPr="00675D00">
        <w:rPr>
          <w:rFonts w:asciiTheme="minorHAnsi" w:hAnsiTheme="minorHAnsi"/>
        </w:rPr>
        <w:t xml:space="preserve"> evidence is connected to the claim and</w:t>
      </w:r>
      <w:r w:rsidR="00B86333" w:rsidRPr="006523BC">
        <w:rPr>
          <w:rFonts w:asciiTheme="minorHAnsi" w:hAnsiTheme="minorHAnsi"/>
        </w:rPr>
        <w:t xml:space="preserve"> </w:t>
      </w:r>
      <w:r w:rsidR="00B86333" w:rsidRPr="00082531">
        <w:rPr>
          <w:rFonts w:asciiTheme="minorHAnsi" w:hAnsiTheme="minorHAnsi"/>
          <w:i/>
        </w:rPr>
        <w:t>sufficient</w:t>
      </w:r>
      <w:r w:rsidR="00B86333" w:rsidRPr="006523BC">
        <w:rPr>
          <w:rFonts w:asciiTheme="minorHAnsi" w:hAnsiTheme="minorHAnsi"/>
        </w:rPr>
        <w:t xml:space="preserve"> evidence </w:t>
      </w:r>
      <w:r w:rsidR="006523BC" w:rsidRPr="006523BC">
        <w:rPr>
          <w:rFonts w:asciiTheme="minorHAnsi" w:eastAsia="Times New Roman" w:hAnsiTheme="minorHAnsi" w:cs="Arial"/>
          <w:color w:val="000000"/>
        </w:rPr>
        <w:t>thoroughly reinfor</w:t>
      </w:r>
      <w:r w:rsidR="00B57328">
        <w:rPr>
          <w:rFonts w:asciiTheme="minorHAnsi" w:eastAsia="Times New Roman" w:hAnsiTheme="minorHAnsi" w:cs="Arial"/>
          <w:color w:val="000000"/>
        </w:rPr>
        <w:t>ces</w:t>
      </w:r>
      <w:r w:rsidR="006523BC" w:rsidRPr="006523BC">
        <w:rPr>
          <w:rFonts w:asciiTheme="minorHAnsi" w:eastAsia="Times New Roman" w:hAnsiTheme="minorHAnsi" w:cs="Arial"/>
          <w:color w:val="000000"/>
        </w:rPr>
        <w:t xml:space="preserve"> the claims in an argument (central and/or supporting claims). One piece of powerful evidence may be </w:t>
      </w:r>
      <w:r w:rsidR="006523BC" w:rsidRPr="00082531">
        <w:rPr>
          <w:rFonts w:asciiTheme="minorHAnsi" w:eastAsia="Times New Roman" w:hAnsiTheme="minorHAnsi" w:cs="Arial"/>
          <w:i/>
          <w:color w:val="000000"/>
        </w:rPr>
        <w:t>sufficient</w:t>
      </w:r>
      <w:r w:rsidR="006523BC" w:rsidRPr="006523BC">
        <w:rPr>
          <w:rFonts w:asciiTheme="minorHAnsi" w:eastAsia="Times New Roman" w:hAnsiTheme="minorHAnsi" w:cs="Arial"/>
          <w:color w:val="000000"/>
        </w:rPr>
        <w:t xml:space="preserve"> to support a claim, or several pieces of evidence may be collectively </w:t>
      </w:r>
      <w:r w:rsidR="006523BC" w:rsidRPr="00082531">
        <w:rPr>
          <w:rFonts w:asciiTheme="minorHAnsi" w:eastAsia="Times New Roman" w:hAnsiTheme="minorHAnsi" w:cs="Arial"/>
          <w:i/>
          <w:color w:val="000000"/>
        </w:rPr>
        <w:t>sufficient</w:t>
      </w:r>
      <w:r w:rsidR="006523BC" w:rsidRPr="006523BC">
        <w:rPr>
          <w:rFonts w:asciiTheme="minorHAnsi" w:eastAsia="Times New Roman" w:hAnsiTheme="minorHAnsi" w:cs="Arial"/>
          <w:color w:val="000000"/>
        </w:rPr>
        <w:t xml:space="preserve"> to support a claim. </w:t>
      </w:r>
    </w:p>
    <w:p w:rsidR="00B12F9A" w:rsidRDefault="00B12F9A" w:rsidP="00B12F9A">
      <w:pPr>
        <w:pStyle w:val="IN"/>
      </w:pPr>
      <w:r>
        <w:t>Students have an opportunity to record</w:t>
      </w:r>
      <w:r w:rsidR="001919DE">
        <w:t xml:space="preserve"> the</w:t>
      </w:r>
      <w:r>
        <w:t xml:space="preserve"> issue and </w:t>
      </w:r>
      <w:r w:rsidR="00D45DDF">
        <w:t>claim</w:t>
      </w:r>
      <w:r>
        <w:t xml:space="preserve"> on the Evidence </w:t>
      </w:r>
      <w:r w:rsidR="001A3999">
        <w:t xml:space="preserve">Collection </w:t>
      </w:r>
      <w:r>
        <w:t>Tool later in this lesson.</w:t>
      </w:r>
    </w:p>
    <w:p w:rsidR="001E554C" w:rsidRDefault="001E554C" w:rsidP="00B12F9A">
      <w:pPr>
        <w:pStyle w:val="IN"/>
      </w:pPr>
      <w:r>
        <w:rPr>
          <w:b/>
        </w:rPr>
        <w:t xml:space="preserve">Differentiation Consideration: </w:t>
      </w:r>
      <w:r>
        <w:t>Consider reminding students that evidence supports claims and claims support a</w:t>
      </w:r>
      <w:r w:rsidR="002028FF">
        <w:t xml:space="preserve"> central</w:t>
      </w:r>
      <w:r>
        <w:t xml:space="preserve"> </w:t>
      </w:r>
      <w:r w:rsidR="00D45DDF">
        <w:t>claim</w:t>
      </w:r>
      <w:r>
        <w:t xml:space="preserve"> within an argument. </w:t>
      </w:r>
    </w:p>
    <w:p w:rsidR="002D1BFE" w:rsidRDefault="005A4336" w:rsidP="002D1BFE">
      <w:pPr>
        <w:pStyle w:val="SA"/>
      </w:pPr>
      <w:r>
        <w:t xml:space="preserve">Students follow along. </w:t>
      </w:r>
    </w:p>
    <w:p w:rsidR="00307516" w:rsidRDefault="00307516" w:rsidP="00966480">
      <w:pPr>
        <w:pStyle w:val="TA"/>
      </w:pPr>
      <w:r>
        <w:t xml:space="preserve">Display Skloot’s </w:t>
      </w:r>
      <w:r w:rsidR="00D45DDF">
        <w:t>claim</w:t>
      </w:r>
      <w:r>
        <w:t xml:space="preserve"> and two examples of textual evidence: </w:t>
      </w:r>
    </w:p>
    <w:p w:rsidR="00307516" w:rsidRDefault="00082531" w:rsidP="00082531">
      <w:r>
        <w:t xml:space="preserve">Claim: </w:t>
      </w:r>
      <w:r w:rsidR="00307516" w:rsidRPr="00307516">
        <w:t>Southam lied and did not explain his experiments becau</w:t>
      </w:r>
      <w:r w:rsidR="00B46824">
        <w:t>se patients may not have agreed:</w:t>
      </w:r>
      <w:r w:rsidR="00307516" w:rsidRPr="00307516">
        <w:t xml:space="preserve"> “The deception was for his benefit” (p. 130).</w:t>
      </w:r>
      <w:r w:rsidR="00307516">
        <w:t xml:space="preserve"> </w:t>
      </w:r>
    </w:p>
    <w:p w:rsidR="00307516" w:rsidRDefault="001A05C6" w:rsidP="00102865">
      <w:pPr>
        <w:pStyle w:val="NumberedList"/>
        <w:numPr>
          <w:ilvl w:val="0"/>
          <w:numId w:val="2"/>
        </w:numPr>
      </w:pPr>
      <w:r w:rsidRPr="00307516">
        <w:t>“</w:t>
      </w:r>
      <w:r w:rsidR="00896200">
        <w:t xml:space="preserve">He chose the Ohio prison because its inmates had cooperated in several other studies without resistance” (p. 128). </w:t>
      </w:r>
    </w:p>
    <w:p w:rsidR="006F7C83" w:rsidRDefault="001A05C6" w:rsidP="00102865">
      <w:pPr>
        <w:pStyle w:val="NumberedList"/>
        <w:numPr>
          <w:ilvl w:val="0"/>
          <w:numId w:val="2"/>
        </w:numPr>
      </w:pPr>
      <w:r w:rsidRPr="00307516">
        <w:t>“</w:t>
      </w:r>
      <w:r w:rsidR="000B289F">
        <w:t>When Southam reported his results, the press hailed them as a tremendous breakthrough that could someday lead to a cancer vaccine</w:t>
      </w:r>
      <w:r w:rsidRPr="00307516">
        <w:t>”</w:t>
      </w:r>
      <w:r w:rsidR="000B289F">
        <w:t xml:space="preserve"> (p. 129).</w:t>
      </w:r>
    </w:p>
    <w:p w:rsidR="006F7C83" w:rsidRPr="00675D00" w:rsidRDefault="006F7C83" w:rsidP="00675D00">
      <w:pPr>
        <w:pStyle w:val="IN"/>
      </w:pPr>
      <w:r w:rsidRPr="00442171">
        <w:rPr>
          <w:b/>
        </w:rPr>
        <w:t>Differentiation Consideration:</w:t>
      </w:r>
      <w:r>
        <w:t xml:space="preserve"> Consider rem</w:t>
      </w:r>
      <w:r w:rsidR="00B57328">
        <w:t>inding students that evidence refers to</w:t>
      </w:r>
      <w:r>
        <w:t xml:space="preserve"> </w:t>
      </w:r>
      <w:r w:rsidR="007E048E">
        <w:t>t</w:t>
      </w:r>
      <w:r w:rsidRPr="00675D00">
        <w:t>he topical and textual facts, events, and ideas from which the claims of an argument arise, and which are cited to support those claims.</w:t>
      </w:r>
    </w:p>
    <w:p w:rsidR="00966480" w:rsidRDefault="005E6DE2" w:rsidP="009607D5">
      <w:pPr>
        <w:pStyle w:val="TA"/>
      </w:pPr>
      <w:r>
        <w:t xml:space="preserve">Instruct students to briefly Turn-and-Talk with a classmate about which piece of evidence is more </w:t>
      </w:r>
      <w:r w:rsidRPr="009607D5">
        <w:rPr>
          <w:i/>
        </w:rPr>
        <w:t>relevant</w:t>
      </w:r>
      <w:r w:rsidR="009607D5">
        <w:t xml:space="preserve"> to the</w:t>
      </w:r>
      <w:r>
        <w:t xml:space="preserve"> </w:t>
      </w:r>
      <w:r w:rsidR="00D45DDF">
        <w:t>claim</w:t>
      </w:r>
      <w:r w:rsidR="00082531">
        <w:t>,</w:t>
      </w:r>
      <w:r w:rsidR="009607D5">
        <w:t xml:space="preserve"> and </w:t>
      </w:r>
      <w:r w:rsidR="00B57328">
        <w:t>how</w:t>
      </w:r>
      <w:r w:rsidR="009607D5">
        <w:t xml:space="preserve"> that evidence supports the </w:t>
      </w:r>
      <w:r w:rsidR="00D45DDF">
        <w:t>claim</w:t>
      </w:r>
      <w:r>
        <w:t>.</w:t>
      </w:r>
    </w:p>
    <w:p w:rsidR="005E6DE2" w:rsidRDefault="005E6DE2" w:rsidP="009607D5">
      <w:pPr>
        <w:pStyle w:val="SA"/>
      </w:pPr>
      <w:r>
        <w:t>Students Turn-and-Talk.</w:t>
      </w:r>
    </w:p>
    <w:p w:rsidR="009607D5" w:rsidRDefault="009607D5" w:rsidP="009607D5">
      <w:pPr>
        <w:pStyle w:val="TA"/>
      </w:pPr>
      <w:r>
        <w:t>Lead a brief whole</w:t>
      </w:r>
      <w:r w:rsidR="00F06EFA">
        <w:t>-</w:t>
      </w:r>
      <w:r>
        <w:t xml:space="preserve">class discussion </w:t>
      </w:r>
      <w:r w:rsidR="00082531">
        <w:t>of student responses</w:t>
      </w:r>
      <w:r>
        <w:t xml:space="preserve">. </w:t>
      </w:r>
    </w:p>
    <w:p w:rsidR="003058AD" w:rsidRPr="009607D5" w:rsidRDefault="003058AD" w:rsidP="003058AD">
      <w:pPr>
        <w:pStyle w:val="SR"/>
      </w:pPr>
      <w:r>
        <w:t>The second piece of evidence is more relevant because it gives an example of how “the deception” (p. 130) benefited Southam.</w:t>
      </w:r>
    </w:p>
    <w:p w:rsidR="00707670" w:rsidRDefault="00707670" w:rsidP="00707670">
      <w:pPr>
        <w:pStyle w:val="LearningSequenceHeader"/>
      </w:pPr>
      <w:r>
        <w:t>Activity 4</w:t>
      </w:r>
      <w:r w:rsidR="007E3D2F">
        <w:t xml:space="preserve">: </w:t>
      </w:r>
      <w:r w:rsidR="00656B93">
        <w:t>Evidence Collection Tool</w:t>
      </w:r>
      <w:r w:rsidR="003A35F4">
        <w:t xml:space="preserve"> Small Group</w:t>
      </w:r>
      <w:r w:rsidR="007E3D2F">
        <w:t xml:space="preserve"> Activity</w:t>
      </w:r>
      <w:r w:rsidR="009F5212">
        <w:tab/>
      </w:r>
      <w:r w:rsidR="00656B93">
        <w:t>40</w:t>
      </w:r>
      <w:r w:rsidRPr="00707670">
        <w:t>%</w:t>
      </w:r>
    </w:p>
    <w:p w:rsidR="00210A2E" w:rsidRDefault="002D6928" w:rsidP="00707670">
      <w:pPr>
        <w:pStyle w:val="TA"/>
      </w:pPr>
      <w:r>
        <w:t>Display and distribute the Lesson 6 Evidence Collection Tool.</w:t>
      </w:r>
      <w:r w:rsidR="00DC52E6" w:rsidRPr="004760BF">
        <w:t xml:space="preserve"> </w:t>
      </w:r>
      <w:r>
        <w:t>Instruct students to</w:t>
      </w:r>
      <w:r w:rsidR="00082531">
        <w:t xml:space="preserve"> form heterogeneous groups of 4–</w:t>
      </w:r>
      <w:r>
        <w:t xml:space="preserve">5 for this activity. </w:t>
      </w:r>
      <w:r w:rsidR="00E272E4">
        <w:t>Explain to students that they will</w:t>
      </w:r>
      <w:r w:rsidR="001041F6">
        <w:t xml:space="preserve"> use this tool to identify</w:t>
      </w:r>
      <w:r w:rsidR="008B63BF">
        <w:t xml:space="preserve"> and evaluate</w:t>
      </w:r>
      <w:r w:rsidR="00E272E4">
        <w:t xml:space="preserve"> evidence </w:t>
      </w:r>
      <w:r w:rsidR="00082531">
        <w:t>that Skloot uses in pages 127–136 of</w:t>
      </w:r>
      <w:r w:rsidR="00E272E4">
        <w:t xml:space="preserve"> </w:t>
      </w:r>
      <w:r w:rsidR="00E272E4">
        <w:rPr>
          <w:i/>
        </w:rPr>
        <w:t>The Immortal Life of Henrietta Lacks</w:t>
      </w:r>
      <w:r w:rsidR="00082531" w:rsidRPr="00082531">
        <w:t xml:space="preserve">, </w:t>
      </w:r>
      <w:r w:rsidR="00E272E4">
        <w:t>and</w:t>
      </w:r>
      <w:r w:rsidR="00AE7100">
        <w:t xml:space="preserve"> assess</w:t>
      </w:r>
      <w:r w:rsidR="00E272E4">
        <w:t xml:space="preserve"> whether the evidence is </w:t>
      </w:r>
      <w:r w:rsidR="00E272E4">
        <w:rPr>
          <w:i/>
        </w:rPr>
        <w:t xml:space="preserve">relevant </w:t>
      </w:r>
      <w:r w:rsidR="00E272E4">
        <w:t xml:space="preserve">and </w:t>
      </w:r>
      <w:r w:rsidR="00E272E4">
        <w:rPr>
          <w:i/>
        </w:rPr>
        <w:t>sufficient</w:t>
      </w:r>
      <w:r w:rsidR="00E272E4">
        <w:t xml:space="preserve"> to support her </w:t>
      </w:r>
      <w:r w:rsidR="00D45DDF">
        <w:t>claim</w:t>
      </w:r>
      <w:r w:rsidR="00E272E4">
        <w:t xml:space="preserve">. </w:t>
      </w:r>
      <w:r w:rsidR="00EF7094">
        <w:t xml:space="preserve">Instruct students to identify evidence in the </w:t>
      </w:r>
      <w:r w:rsidR="00916B0C">
        <w:t>excerpt</w:t>
      </w:r>
      <w:r w:rsidR="00EF7094">
        <w:t>, cite the page number</w:t>
      </w:r>
      <w:r w:rsidR="00FA6796">
        <w:t>,</w:t>
      </w:r>
      <w:r w:rsidR="00EF7094">
        <w:t xml:space="preserve"> and evaluate if this evidence supports Skloot’s</w:t>
      </w:r>
      <w:r w:rsidR="00C06D85">
        <w:t xml:space="preserve"> </w:t>
      </w:r>
      <w:r w:rsidR="00D45DDF">
        <w:t>claim</w:t>
      </w:r>
      <w:r w:rsidR="00C06D85">
        <w:t xml:space="preserve">. </w:t>
      </w:r>
    </w:p>
    <w:p w:rsidR="00210A2E" w:rsidRDefault="00210A2E" w:rsidP="00210A2E">
      <w:pPr>
        <w:pStyle w:val="SA"/>
      </w:pPr>
      <w:r>
        <w:t xml:space="preserve">Students form heterogeneous groups and examine the </w:t>
      </w:r>
      <w:r w:rsidR="00595390">
        <w:t>t</w:t>
      </w:r>
      <w:r>
        <w:t>ool.</w:t>
      </w:r>
    </w:p>
    <w:p w:rsidR="00C006B5" w:rsidRDefault="00C006B5" w:rsidP="00707670">
      <w:pPr>
        <w:pStyle w:val="TA"/>
      </w:pPr>
      <w:r>
        <w:t>Instruct student groups to copy the issue and claim discussed in the previous activity on the appropriate portions of the Lesson 6 Evidence Collection Tool. Ask student</w:t>
      </w:r>
      <w:r w:rsidR="00393A0E">
        <w:t xml:space="preserve"> groups to briefly discuss </w:t>
      </w:r>
      <w:r w:rsidR="00082531">
        <w:t>the following q</w:t>
      </w:r>
      <w:r w:rsidR="00393A0E">
        <w:t>uestion before sharing out with the whole class</w:t>
      </w:r>
      <w:r>
        <w:t>:</w:t>
      </w:r>
    </w:p>
    <w:p w:rsidR="00C006B5" w:rsidRDefault="00C006B5" w:rsidP="00675D00">
      <w:pPr>
        <w:pStyle w:val="Q"/>
      </w:pPr>
      <w:r>
        <w:t>Based on Skloot’s claim and the issue</w:t>
      </w:r>
      <w:r w:rsidR="002F23EF">
        <w:t>,</w:t>
      </w:r>
      <w:r>
        <w:t xml:space="preserve"> what sort of evidence will be </w:t>
      </w:r>
      <w:r>
        <w:rPr>
          <w:i/>
        </w:rPr>
        <w:t>relevant</w:t>
      </w:r>
      <w:r w:rsidR="00393A0E">
        <w:t>?</w:t>
      </w:r>
    </w:p>
    <w:p w:rsidR="00082531" w:rsidRDefault="00393A0E" w:rsidP="00675D00">
      <w:pPr>
        <w:pStyle w:val="SA"/>
      </w:pPr>
      <w:r>
        <w:t>Student groups briefly discuss.</w:t>
      </w:r>
    </w:p>
    <w:p w:rsidR="00393A0E" w:rsidRDefault="00082531" w:rsidP="00082531">
      <w:pPr>
        <w:pStyle w:val="TA"/>
      </w:pPr>
      <w:r>
        <w:t>Lead a brief whole-class discussion of student responses.</w:t>
      </w:r>
      <w:r w:rsidR="00393A0E">
        <w:t xml:space="preserve"> </w:t>
      </w:r>
    </w:p>
    <w:p w:rsidR="00393A0E" w:rsidRPr="00393A0E" w:rsidRDefault="00B46824" w:rsidP="00675D00">
      <w:pPr>
        <w:pStyle w:val="SR"/>
      </w:pPr>
      <w:r w:rsidRPr="00082531">
        <w:rPr>
          <w:i/>
        </w:rPr>
        <w:t>Relevant</w:t>
      </w:r>
      <w:r>
        <w:t xml:space="preserve"> evidence will relate</w:t>
      </w:r>
      <w:r w:rsidR="00393A0E">
        <w:t xml:space="preserve"> to the issue of informed consent as well as Southam’s experiments. </w:t>
      </w:r>
    </w:p>
    <w:p w:rsidR="00082531" w:rsidRDefault="00082531">
      <w:pPr>
        <w:pStyle w:val="TA"/>
      </w:pPr>
      <w:r>
        <w:t>Remind</w:t>
      </w:r>
      <w:r w:rsidR="00393A0E">
        <w:t xml:space="preserve"> students that as they are identifying evidence and rereading</w:t>
      </w:r>
      <w:r w:rsidR="002F23EF">
        <w:t>, they should</w:t>
      </w:r>
      <w:r w:rsidR="00393A0E">
        <w:t xml:space="preserve"> </w:t>
      </w:r>
      <w:r w:rsidR="00F02E41">
        <w:t>think about</w:t>
      </w:r>
      <w:r>
        <w:t xml:space="preserve"> the purpose of the activity: </w:t>
      </w:r>
      <w:r w:rsidR="00393A0E">
        <w:t xml:space="preserve">to identify and evaluate evidence Skloot uses in this </w:t>
      </w:r>
      <w:r w:rsidR="00916B0C">
        <w:t>excerpt</w:t>
      </w:r>
      <w:r w:rsidR="00393A0E">
        <w:t xml:space="preserve"> to support her claim. </w:t>
      </w:r>
    </w:p>
    <w:p w:rsidR="00393A0E" w:rsidRDefault="00210A2E">
      <w:pPr>
        <w:pStyle w:val="TA"/>
      </w:pPr>
      <w:r>
        <w:t xml:space="preserve">Display the </w:t>
      </w:r>
      <w:r w:rsidR="00C006B5">
        <w:t>first “Evidence” portion</w:t>
      </w:r>
      <w:r>
        <w:t xml:space="preserve"> of the Model Lesson 6 Evidence Collection Tool for students. </w:t>
      </w:r>
      <w:r w:rsidR="00393A0E">
        <w:t xml:space="preserve">Ask student groups to </w:t>
      </w:r>
      <w:r w:rsidR="000943A0">
        <w:t xml:space="preserve">record the modeled evidence, </w:t>
      </w:r>
      <w:r w:rsidR="00393A0E">
        <w:t>discuss</w:t>
      </w:r>
      <w:r w:rsidR="00656B93">
        <w:t xml:space="preserve"> briefly in their groups</w:t>
      </w:r>
      <w:r w:rsidR="00F02E41">
        <w:t>,</w:t>
      </w:r>
      <w:r w:rsidR="000943A0">
        <w:t xml:space="preserve"> and record the outcome of their discussion on their Lesson 6 Evidence Collection Tool. Ask students</w:t>
      </w:r>
      <w:r w:rsidR="009B21D7">
        <w:t>:</w:t>
      </w:r>
    </w:p>
    <w:p w:rsidR="009B21D7" w:rsidRDefault="009B21D7" w:rsidP="00675D00">
      <w:pPr>
        <w:pStyle w:val="Q"/>
      </w:pPr>
      <w:r>
        <w:t>How does this evidence contribute to Skloot’s claim</w:t>
      </w:r>
      <w:r w:rsidR="00656B93">
        <w:t>?</w:t>
      </w:r>
      <w:r>
        <w:t xml:space="preserve"> </w:t>
      </w:r>
      <w:r w:rsidR="00656B93">
        <w:t>I</w:t>
      </w:r>
      <w:r>
        <w:t xml:space="preserve">s it </w:t>
      </w:r>
      <w:r>
        <w:rPr>
          <w:i/>
        </w:rPr>
        <w:t>relevant</w:t>
      </w:r>
      <w:r>
        <w:t xml:space="preserve"> and </w:t>
      </w:r>
      <w:r w:rsidRPr="00675D00">
        <w:rPr>
          <w:i/>
        </w:rPr>
        <w:t>sufficient</w:t>
      </w:r>
      <w:r>
        <w:t>?</w:t>
      </w:r>
    </w:p>
    <w:p w:rsidR="00210A2E" w:rsidRDefault="009B21D7" w:rsidP="00675D00">
      <w:pPr>
        <w:pStyle w:val="SA"/>
      </w:pPr>
      <w:r>
        <w:t>Student groups briefly discuss and evaluat</w:t>
      </w:r>
      <w:r w:rsidR="00F02E41">
        <w:t xml:space="preserve">e </w:t>
      </w:r>
      <w:r>
        <w:t>the evidence.</w:t>
      </w:r>
    </w:p>
    <w:p w:rsidR="009B21D7" w:rsidRDefault="009B21D7" w:rsidP="00675D00">
      <w:pPr>
        <w:pStyle w:val="SR"/>
      </w:pPr>
      <w:r>
        <w:t xml:space="preserve">Student responses may include: </w:t>
      </w:r>
    </w:p>
    <w:p w:rsidR="009B21D7" w:rsidRDefault="009B21D7" w:rsidP="00825E31">
      <w:pPr>
        <w:pStyle w:val="SASRBullet"/>
      </w:pPr>
      <w:r>
        <w:t>This evidence contributes to Skloot’s claim because it explains the facts in the legal system Southam used to avoid telling his patients what he was doing.</w:t>
      </w:r>
    </w:p>
    <w:p w:rsidR="009B21D7" w:rsidRDefault="009B21D7" w:rsidP="00825E31">
      <w:pPr>
        <w:pStyle w:val="SASRBullet"/>
      </w:pPr>
      <w:r>
        <w:t xml:space="preserve">This evidence directly addresses the issue of informed consent and includes </w:t>
      </w:r>
      <w:r w:rsidR="00D97A4D">
        <w:t>Southam, which</w:t>
      </w:r>
      <w:r>
        <w:t xml:space="preserve"> directly supports Skloot’s claim. </w:t>
      </w:r>
    </w:p>
    <w:p w:rsidR="004D0D4D" w:rsidRDefault="004D0D4D" w:rsidP="00675D00">
      <w:pPr>
        <w:pStyle w:val="IN"/>
      </w:pPr>
      <w:r>
        <w:rPr>
          <w:b/>
        </w:rPr>
        <w:t>Differentiation Consideration</w:t>
      </w:r>
      <w:r>
        <w:t xml:space="preserve">: If student groups struggle with evaluating the model piece of </w:t>
      </w:r>
      <w:r w:rsidR="00997C73">
        <w:t>evidence</w:t>
      </w:r>
      <w:r w:rsidR="00F02E41">
        <w:t>,</w:t>
      </w:r>
      <w:r w:rsidR="00997C73">
        <w:t xml:space="preserve"> consider </w:t>
      </w:r>
      <w:r w:rsidR="00B46824">
        <w:t>revising this activity by engaging in</w:t>
      </w:r>
      <w:r w:rsidR="00997C73">
        <w:t xml:space="preserve"> a modeled think-aloud and direct</w:t>
      </w:r>
      <w:r w:rsidR="00B46824">
        <w:t>ing</w:t>
      </w:r>
      <w:r w:rsidR="00997C73">
        <w:t xml:space="preserve"> students to follow along with the modeling.</w:t>
      </w:r>
    </w:p>
    <w:p w:rsidR="00707670" w:rsidRDefault="000943A0" w:rsidP="00707670">
      <w:pPr>
        <w:pStyle w:val="TA"/>
      </w:pPr>
      <w:r>
        <w:t>Remind students to discuss as a group the merit</w:t>
      </w:r>
      <w:r w:rsidR="00595390">
        <w:t>s</w:t>
      </w:r>
      <w:r>
        <w:t xml:space="preserve"> or faults of each piece of evidence identified in the text before recording their thoughts on their tool.</w:t>
      </w:r>
      <w:r w:rsidR="004D0D4D">
        <w:t xml:space="preserve"> </w:t>
      </w:r>
      <w:r w:rsidR="00656B93">
        <w:t xml:space="preserve">Remind students this is a </w:t>
      </w:r>
      <w:r w:rsidR="00656B93" w:rsidRPr="00350142">
        <w:t xml:space="preserve">collaborative discussion </w:t>
      </w:r>
      <w:r w:rsidR="00656B93">
        <w:t xml:space="preserve">as </w:t>
      </w:r>
      <w:r w:rsidR="00656B93" w:rsidRPr="00350142">
        <w:t>outlined in SL.9-10.1</w:t>
      </w:r>
      <w:r w:rsidR="00656B93">
        <w:t xml:space="preserve">. </w:t>
      </w:r>
      <w:r w:rsidR="00C06D85">
        <w:t xml:space="preserve">Explain to students </w:t>
      </w:r>
      <w:r w:rsidR="00B46824">
        <w:t xml:space="preserve">that after they have analyzed the evidence, they will synthesize their conclusions about Skloot’s claim </w:t>
      </w:r>
      <w:r w:rsidR="00C06D85">
        <w:t xml:space="preserve">on the second side </w:t>
      </w:r>
      <w:r w:rsidR="00EF7094">
        <w:t>of the Lesson 6 Evidence Collection Tool</w:t>
      </w:r>
      <w:r w:rsidR="00382A16">
        <w:t>.</w:t>
      </w:r>
      <w:r w:rsidR="00EF7094">
        <w:t xml:space="preserve"> </w:t>
      </w:r>
    </w:p>
    <w:p w:rsidR="00210A2E" w:rsidRDefault="00D968D9" w:rsidP="00675D00">
      <w:pPr>
        <w:pStyle w:val="IN"/>
      </w:pPr>
      <w:r>
        <w:t>Consider reminding students of the structure of collaborative discussion and skills inherent in the substandards of Standard SL.9-10.1, to which students were previously introduced.</w:t>
      </w:r>
    </w:p>
    <w:p w:rsidR="00EF7094" w:rsidRDefault="00C06D85" w:rsidP="00EF7094">
      <w:pPr>
        <w:pStyle w:val="TA"/>
      </w:pPr>
      <w:r>
        <w:t>Instruct student groups to begin</w:t>
      </w:r>
      <w:r w:rsidR="00595390">
        <w:t>.</w:t>
      </w:r>
      <w:r>
        <w:t xml:space="preserve"> </w:t>
      </w:r>
      <w:r w:rsidR="00595390">
        <w:t>C</w:t>
      </w:r>
      <w:r w:rsidRPr="00C06D85">
        <w:t>irc</w:t>
      </w:r>
      <w:r w:rsidR="00F02E41">
        <w:t>ulate around</w:t>
      </w:r>
      <w:r w:rsidRPr="00C06D85">
        <w:t xml:space="preserve"> the room as students work in their groups and answer any questions that arise.</w:t>
      </w:r>
    </w:p>
    <w:p w:rsidR="00C06D85" w:rsidRDefault="00C06D85" w:rsidP="00C06D85">
      <w:pPr>
        <w:pStyle w:val="SA"/>
      </w:pPr>
      <w:r>
        <w:t xml:space="preserve">Student groups </w:t>
      </w:r>
      <w:r w:rsidR="00656B93">
        <w:t>identify</w:t>
      </w:r>
      <w:r>
        <w:t xml:space="preserve"> and evaluat</w:t>
      </w:r>
      <w:r w:rsidR="00656B93">
        <w:t>e</w:t>
      </w:r>
      <w:r>
        <w:t xml:space="preserve"> evidence</w:t>
      </w:r>
      <w:r w:rsidR="00F02E41">
        <w:t xml:space="preserve"> pertaining to Skloot’s claim.</w:t>
      </w:r>
    </w:p>
    <w:p w:rsidR="00C06D85" w:rsidRDefault="00C06D85" w:rsidP="00C06D85">
      <w:pPr>
        <w:pStyle w:val="SR"/>
      </w:pPr>
      <w:r>
        <w:t>See the Model Lesson 6 Evidence Collection Tool at the end of this lesson</w:t>
      </w:r>
      <w:r w:rsidR="00F02E41">
        <w:t xml:space="preserve"> for sample student responses.</w:t>
      </w:r>
    </w:p>
    <w:p w:rsidR="00656B93" w:rsidRDefault="00656B93" w:rsidP="00D7518A">
      <w:pPr>
        <w:pStyle w:val="LearningSequenceHeader"/>
        <w:spacing w:before="360"/>
      </w:pPr>
      <w:r>
        <w:t>Activity 5: Quick Write</w:t>
      </w:r>
      <w:r>
        <w:tab/>
        <w:t>10</w:t>
      </w:r>
      <w:r w:rsidRPr="00707670">
        <w:t>%</w:t>
      </w:r>
    </w:p>
    <w:p w:rsidR="00C06D85" w:rsidRDefault="00C06D85" w:rsidP="00C06D85">
      <w:pPr>
        <w:pStyle w:val="TA"/>
      </w:pPr>
      <w:r>
        <w:t xml:space="preserve">Instruct students to </w:t>
      </w:r>
      <w:r w:rsidR="00656B93">
        <w:t>respond briefly in writing on the second side of the Lesson 6 Evidence Collection Tool to the following prompt</w:t>
      </w:r>
      <w:r w:rsidR="00995ABB">
        <w:t>:</w:t>
      </w:r>
    </w:p>
    <w:p w:rsidR="00995ABB" w:rsidRDefault="00995ABB" w:rsidP="00785ADC">
      <w:pPr>
        <w:pStyle w:val="Q"/>
      </w:pPr>
      <w:r w:rsidRPr="00E82B87">
        <w:t xml:space="preserve">Evaluate Skloot's </w:t>
      </w:r>
      <w:r w:rsidR="00D45DDF">
        <w:t>claim</w:t>
      </w:r>
      <w:r w:rsidRPr="00E82B87">
        <w:t xml:space="preserve"> in paragraph 4 on page 130, and determine whether the evidence in the rest of the </w:t>
      </w:r>
      <w:r w:rsidR="00916B0C">
        <w:t>excerpt</w:t>
      </w:r>
      <w:r w:rsidRPr="00E82B87">
        <w:t xml:space="preserve"> is relevant and sufficient to support her </w:t>
      </w:r>
      <w:r w:rsidR="00D45DDF">
        <w:t>claim</w:t>
      </w:r>
      <w:r w:rsidRPr="00E82B87">
        <w:t>.</w:t>
      </w:r>
    </w:p>
    <w:p w:rsidR="001B5244" w:rsidRDefault="001B5244" w:rsidP="00675D00">
      <w:pPr>
        <w:pStyle w:val="TA"/>
      </w:pPr>
      <w:r w:rsidRPr="005C15C5">
        <w:t xml:space="preserve">Ask students to use this lesson’s vocabulary wherever possible in their written responses. Remind students to use the Short Response </w:t>
      </w:r>
      <w:r w:rsidR="007E048E">
        <w:t xml:space="preserve">Rubric and </w:t>
      </w:r>
      <w:r w:rsidRPr="005C15C5">
        <w:t>Checklis</w:t>
      </w:r>
      <w:r w:rsidR="00073FCA">
        <w:t>t</w:t>
      </w:r>
      <w:r w:rsidRPr="005C15C5">
        <w:t xml:space="preserve"> to guide their written responses</w:t>
      </w:r>
      <w:r>
        <w:t>.</w:t>
      </w:r>
    </w:p>
    <w:p w:rsidR="002D7B20" w:rsidRDefault="002D7B20" w:rsidP="002D7B20">
      <w:pPr>
        <w:pStyle w:val="SA"/>
      </w:pPr>
      <w:r>
        <w:t>Students listen and read the Quick Write prompt.</w:t>
      </w:r>
    </w:p>
    <w:p w:rsidR="002D7B20" w:rsidRDefault="002D7B20" w:rsidP="002D7B20">
      <w:pPr>
        <w:pStyle w:val="TA"/>
      </w:pPr>
      <w:proofErr w:type="gramStart"/>
      <w:r>
        <w:t>Transition to the independent Quick Write.</w:t>
      </w:r>
      <w:proofErr w:type="gramEnd"/>
      <w:r>
        <w:t xml:space="preserve"> </w:t>
      </w:r>
    </w:p>
    <w:p w:rsidR="00656B93" w:rsidRDefault="002D7B20" w:rsidP="002D7B20">
      <w:pPr>
        <w:pStyle w:val="SA"/>
      </w:pPr>
      <w:r>
        <w:t>Students independently answer the prompt using evidence from the text.</w:t>
      </w:r>
    </w:p>
    <w:p w:rsidR="00995ABB" w:rsidRDefault="00995ABB" w:rsidP="00C06D85">
      <w:pPr>
        <w:pStyle w:val="SR"/>
      </w:pPr>
      <w:r>
        <w:t>See the</w:t>
      </w:r>
      <w:r w:rsidR="002D7B20">
        <w:t xml:space="preserve"> High Performance Responses on the</w:t>
      </w:r>
      <w:r>
        <w:t xml:space="preserve"> Model Lesson 6 Evidence Collection Tool</w:t>
      </w:r>
      <w:r w:rsidR="00251632">
        <w:t xml:space="preserve"> (side 2).</w:t>
      </w:r>
      <w:r>
        <w:t xml:space="preserve"> </w:t>
      </w:r>
    </w:p>
    <w:p w:rsidR="00F947DB" w:rsidRDefault="00F947DB" w:rsidP="00F947DB">
      <w:pPr>
        <w:pStyle w:val="SR"/>
        <w:numPr>
          <w:ilvl w:val="0"/>
          <w:numId w:val="0"/>
        </w:numPr>
      </w:pPr>
      <w:r>
        <w:t>Collect the Model Lesson 6 Evidence Collection Tool for assessment purposes.</w:t>
      </w:r>
    </w:p>
    <w:p w:rsidR="009403AD" w:rsidRPr="00563CB8" w:rsidRDefault="00C47BBA" w:rsidP="00D7518A">
      <w:pPr>
        <w:pStyle w:val="LearningSequenceHeader"/>
        <w:spacing w:before="360"/>
      </w:pPr>
      <w:r>
        <w:t xml:space="preserve">Activity </w:t>
      </w:r>
      <w:r w:rsidR="00656B93">
        <w:t>6</w:t>
      </w:r>
      <w:r w:rsidR="009403AD" w:rsidRPr="00563CB8">
        <w:t xml:space="preserve">: </w:t>
      </w:r>
      <w:r w:rsidR="009403AD">
        <w:t>Closing</w:t>
      </w:r>
      <w:r w:rsidR="009403AD" w:rsidRPr="00563CB8">
        <w:tab/>
      </w:r>
      <w:r w:rsidR="009403AD">
        <w:t>5</w:t>
      </w:r>
      <w:r w:rsidR="009403AD" w:rsidRPr="00563CB8">
        <w:t>%</w:t>
      </w:r>
    </w:p>
    <w:p w:rsidR="00B84BD7" w:rsidRPr="002D7B20" w:rsidRDefault="009E2F8E" w:rsidP="002D7B20">
      <w:pPr>
        <w:pStyle w:val="TA"/>
      </w:pPr>
      <w:r w:rsidRPr="002D7B20">
        <w:t>Display and distribute the homework assignment. For homework, instruct students to preview the following lesson’s text and annotate for central idea</w:t>
      </w:r>
      <w:r w:rsidR="00073FCA" w:rsidRPr="002D7B20">
        <w:t xml:space="preserve"> (CI)</w:t>
      </w:r>
      <w:r w:rsidRPr="002D7B20">
        <w:t xml:space="preserve"> from “But Day didn’t want to talk about Henrietta’s life” to “I think I would have killed him myself” (pp. 164</w:t>
      </w:r>
      <w:r w:rsidR="00EF3860" w:rsidRPr="002D7B20">
        <w:t>–</w:t>
      </w:r>
      <w:r w:rsidRPr="002D7B20">
        <w:t>169)</w:t>
      </w:r>
      <w:r w:rsidR="001E4233" w:rsidRPr="002D7B20">
        <w:t xml:space="preserve">. </w:t>
      </w:r>
      <w:proofErr w:type="gramStart"/>
      <w:r w:rsidR="009A678E" w:rsidRPr="002D7B20">
        <w:t>Direct students to box any unfamiliar words and look up their definitions.</w:t>
      </w:r>
      <w:proofErr w:type="gramEnd"/>
      <w:r w:rsidR="009A678E" w:rsidRPr="002D7B20">
        <w:t xml:space="preserve"> Instruct them to choose the definition that makes the most sense in the context, and write a brief definition above or near the word in the text. </w:t>
      </w:r>
    </w:p>
    <w:p w:rsidR="009403AD" w:rsidRDefault="009F2758" w:rsidP="00D5056F">
      <w:pPr>
        <w:pStyle w:val="SA"/>
      </w:pPr>
      <w:r w:rsidRPr="00D5056F">
        <w:t>Students follow along.</w:t>
      </w:r>
    </w:p>
    <w:p w:rsidR="000418C1" w:rsidRPr="000418C1" w:rsidRDefault="000418C1" w:rsidP="000418C1">
      <w:pPr>
        <w:pStyle w:val="IN"/>
        <w:rPr>
          <w:rFonts w:ascii="Times" w:hAnsi="Times"/>
          <w:sz w:val="20"/>
          <w:szCs w:val="20"/>
        </w:rPr>
      </w:pPr>
      <w:r w:rsidRPr="000418C1">
        <w:rPr>
          <w:shd w:val="clear" w:color="auto" w:fill="FFFFFF"/>
        </w:rPr>
        <w:t>This focused annotation supports stud</w:t>
      </w:r>
      <w:r>
        <w:rPr>
          <w:shd w:val="clear" w:color="auto" w:fill="FFFFFF"/>
        </w:rPr>
        <w:t>ents’ engagement with W.9-10.9.b</w:t>
      </w:r>
      <w:r w:rsidRPr="000418C1">
        <w:rPr>
          <w:shd w:val="clear" w:color="auto" w:fill="FFFFFF"/>
        </w:rPr>
        <w:t>, which addresses the use of textual evidence in writing.</w:t>
      </w:r>
    </w:p>
    <w:p w:rsidR="00C4787C" w:rsidRDefault="00C4787C" w:rsidP="00D7518A">
      <w:pPr>
        <w:pStyle w:val="Heading1"/>
        <w:spacing w:before="240"/>
      </w:pPr>
      <w:r>
        <w:t>Homework</w:t>
      </w:r>
    </w:p>
    <w:p w:rsidR="00102285" w:rsidRPr="002D7B20" w:rsidRDefault="009E2F8E" w:rsidP="002D7B20">
      <w:r w:rsidRPr="002D7B20">
        <w:t>Preview the following lesson’s text and annotate for central idea</w:t>
      </w:r>
      <w:r w:rsidR="00073FCA" w:rsidRPr="002D7B20">
        <w:t xml:space="preserve"> (CI)</w:t>
      </w:r>
      <w:r w:rsidRPr="002D7B20">
        <w:t xml:space="preserve"> from “But Day didn’t want to talk about Henrietta’s life” to “I think I would have killed him myself” (pp. 164</w:t>
      </w:r>
      <w:r w:rsidR="00EA0015" w:rsidRPr="002D7B20">
        <w:t>–</w:t>
      </w:r>
      <w:r w:rsidRPr="002D7B20">
        <w:t>169).</w:t>
      </w:r>
      <w:r w:rsidR="00102285" w:rsidRPr="002D7B20">
        <w:t xml:space="preserve"> Box any unfamiliar words and look up their definitions. Choose the definition that makes the most sense in the context, and write a brief definition above or near the word in the text. </w:t>
      </w:r>
    </w:p>
    <w:p w:rsidR="002C7FD7" w:rsidRDefault="002C7FD7" w:rsidP="002C7FD7">
      <w:pPr>
        <w:pStyle w:val="ToolHeader"/>
      </w:pPr>
      <w:r>
        <w:t xml:space="preserve">Lesson 6 Evidence </w:t>
      </w:r>
      <w:r w:rsidR="00EA0015">
        <w:t xml:space="preserve">Collection </w:t>
      </w:r>
      <w:r>
        <w:t>Tool (Side 1)</w:t>
      </w:r>
    </w:p>
    <w:tbl>
      <w:tblPr>
        <w:tblStyle w:val="TableGrid"/>
        <w:tblW w:w="0" w:type="auto"/>
        <w:tblLook w:val="04A0"/>
      </w:tblPr>
      <w:tblGrid>
        <w:gridCol w:w="820"/>
        <w:gridCol w:w="2786"/>
        <w:gridCol w:w="732"/>
        <w:gridCol w:w="3045"/>
        <w:gridCol w:w="720"/>
        <w:gridCol w:w="1373"/>
      </w:tblGrid>
      <w:tr w:rsidR="0027539D" w:rsidRPr="00707670">
        <w:trPr>
          <w:trHeight w:val="557"/>
        </w:trPr>
        <w:tc>
          <w:tcPr>
            <w:tcW w:w="816" w:type="dxa"/>
            <w:shd w:val="clear" w:color="auto" w:fill="D9D9D9" w:themeFill="background1" w:themeFillShade="D9"/>
            <w:vAlign w:val="center"/>
          </w:tcPr>
          <w:p w:rsidR="0027539D" w:rsidRPr="00707670" w:rsidRDefault="0027539D" w:rsidP="007E048E">
            <w:pPr>
              <w:pStyle w:val="TableText"/>
              <w:rPr>
                <w:b/>
              </w:rPr>
            </w:pPr>
            <w:r w:rsidRPr="00707670">
              <w:rPr>
                <w:b/>
              </w:rPr>
              <w:t>Name:</w:t>
            </w:r>
          </w:p>
        </w:tc>
        <w:tc>
          <w:tcPr>
            <w:tcW w:w="2786" w:type="dxa"/>
            <w:vAlign w:val="center"/>
          </w:tcPr>
          <w:p w:rsidR="0027539D" w:rsidRPr="00707670" w:rsidRDefault="0027539D" w:rsidP="007E048E">
            <w:pPr>
              <w:pStyle w:val="TableText"/>
              <w:rPr>
                <w:b/>
              </w:rPr>
            </w:pPr>
          </w:p>
        </w:tc>
        <w:tc>
          <w:tcPr>
            <w:tcW w:w="728" w:type="dxa"/>
            <w:shd w:val="clear" w:color="auto" w:fill="D9D9D9" w:themeFill="background1" w:themeFillShade="D9"/>
            <w:vAlign w:val="center"/>
          </w:tcPr>
          <w:p w:rsidR="0027539D" w:rsidRPr="00707670" w:rsidRDefault="0027539D" w:rsidP="007E048E">
            <w:pPr>
              <w:pStyle w:val="TableText"/>
              <w:rPr>
                <w:b/>
              </w:rPr>
            </w:pPr>
            <w:r w:rsidRPr="00707670">
              <w:rPr>
                <w:b/>
              </w:rPr>
              <w:t>Class:</w:t>
            </w:r>
          </w:p>
        </w:tc>
        <w:tc>
          <w:tcPr>
            <w:tcW w:w="3045" w:type="dxa"/>
            <w:vAlign w:val="center"/>
          </w:tcPr>
          <w:p w:rsidR="0027539D" w:rsidRPr="00707670" w:rsidRDefault="0027539D" w:rsidP="007E048E">
            <w:pPr>
              <w:pStyle w:val="TableText"/>
              <w:rPr>
                <w:b/>
              </w:rPr>
            </w:pPr>
          </w:p>
        </w:tc>
        <w:tc>
          <w:tcPr>
            <w:tcW w:w="720" w:type="dxa"/>
            <w:shd w:val="clear" w:color="auto" w:fill="D9D9D9" w:themeFill="background1" w:themeFillShade="D9"/>
            <w:vAlign w:val="center"/>
          </w:tcPr>
          <w:p w:rsidR="0027539D" w:rsidRPr="00707670" w:rsidRDefault="0027539D" w:rsidP="007E048E">
            <w:pPr>
              <w:pStyle w:val="TableText"/>
              <w:rPr>
                <w:b/>
              </w:rPr>
            </w:pPr>
            <w:r w:rsidRPr="00707670">
              <w:rPr>
                <w:b/>
              </w:rPr>
              <w:t>Date:</w:t>
            </w:r>
          </w:p>
        </w:tc>
        <w:tc>
          <w:tcPr>
            <w:tcW w:w="1373" w:type="dxa"/>
            <w:vAlign w:val="center"/>
          </w:tcPr>
          <w:p w:rsidR="0027539D" w:rsidRPr="00707670" w:rsidRDefault="0027539D" w:rsidP="007E048E">
            <w:pPr>
              <w:pStyle w:val="TableText"/>
              <w:rPr>
                <w:b/>
              </w:rPr>
            </w:pPr>
          </w:p>
        </w:tc>
      </w:tr>
    </w:tbl>
    <w:p w:rsidR="0027539D" w:rsidRPr="00646088" w:rsidRDefault="0027539D" w:rsidP="002C7FD7">
      <w:pPr>
        <w:spacing w:before="0" w:after="0"/>
        <w:rPr>
          <w:sz w:val="10"/>
        </w:rPr>
      </w:pPr>
    </w:p>
    <w:tbl>
      <w:tblPr>
        <w:tblStyle w:val="TableGrid"/>
        <w:tblW w:w="9490" w:type="dxa"/>
        <w:tblLook w:val="04A0"/>
      </w:tblPr>
      <w:tblGrid>
        <w:gridCol w:w="4745"/>
        <w:gridCol w:w="4745"/>
      </w:tblGrid>
      <w:tr w:rsidR="002C7FD7" w:rsidRPr="00646088">
        <w:trPr>
          <w:trHeight w:val="1061"/>
        </w:trPr>
        <w:tc>
          <w:tcPr>
            <w:tcW w:w="9490" w:type="dxa"/>
            <w:gridSpan w:val="2"/>
            <w:shd w:val="clear" w:color="auto" w:fill="auto"/>
          </w:tcPr>
          <w:p w:rsidR="002C7FD7" w:rsidRDefault="002C7FD7" w:rsidP="007E048E">
            <w:pPr>
              <w:pStyle w:val="ToolTableText"/>
              <w:rPr>
                <w:b/>
              </w:rPr>
            </w:pPr>
            <w:r>
              <w:rPr>
                <w:b/>
              </w:rPr>
              <w:t>Issue:</w:t>
            </w:r>
          </w:p>
          <w:p w:rsidR="002C7FD7" w:rsidRDefault="002C7FD7" w:rsidP="007E048E">
            <w:pPr>
              <w:pStyle w:val="ToolTableText"/>
              <w:rPr>
                <w:b/>
              </w:rPr>
            </w:pPr>
            <w:r>
              <w:rPr>
                <w:b/>
              </w:rPr>
              <w:t>Claim:</w:t>
            </w:r>
          </w:p>
        </w:tc>
      </w:tr>
      <w:tr w:rsidR="002C7FD7" w:rsidRPr="00646088">
        <w:trPr>
          <w:trHeight w:val="1061"/>
        </w:trPr>
        <w:tc>
          <w:tcPr>
            <w:tcW w:w="4745" w:type="dxa"/>
            <w:shd w:val="clear" w:color="auto" w:fill="D9D9D9" w:themeFill="background1" w:themeFillShade="D9"/>
          </w:tcPr>
          <w:p w:rsidR="002C7FD7" w:rsidRPr="00646088" w:rsidRDefault="002C7FD7" w:rsidP="007E048E">
            <w:pPr>
              <w:pStyle w:val="ToolTableText"/>
              <w:rPr>
                <w:b/>
              </w:rPr>
            </w:pPr>
            <w:r>
              <w:rPr>
                <w:b/>
              </w:rPr>
              <w:t>Evidence</w:t>
            </w:r>
          </w:p>
        </w:tc>
        <w:tc>
          <w:tcPr>
            <w:tcW w:w="4745" w:type="dxa"/>
            <w:shd w:val="clear" w:color="auto" w:fill="D9D9D9" w:themeFill="background1" w:themeFillShade="D9"/>
          </w:tcPr>
          <w:p w:rsidR="002C7FD7" w:rsidRPr="00646088" w:rsidRDefault="002C7FD7" w:rsidP="002D7B20">
            <w:pPr>
              <w:pStyle w:val="ToolTableText"/>
              <w:rPr>
                <w:b/>
              </w:rPr>
            </w:pPr>
            <w:r>
              <w:rPr>
                <w:b/>
              </w:rPr>
              <w:t>How does this</w:t>
            </w:r>
            <w:r w:rsidR="00B46824">
              <w:rPr>
                <w:b/>
              </w:rPr>
              <w:t xml:space="preserve"> evidence</w:t>
            </w:r>
            <w:r>
              <w:rPr>
                <w:b/>
              </w:rPr>
              <w:t xml:space="preserve"> contribute to Skloot’s claim (</w:t>
            </w:r>
            <w:r w:rsidR="00EA0015">
              <w:rPr>
                <w:b/>
              </w:rPr>
              <w:t>i</w:t>
            </w:r>
            <w:r>
              <w:rPr>
                <w:b/>
              </w:rPr>
              <w:t xml:space="preserve">s </w:t>
            </w:r>
            <w:r w:rsidR="002D7B20">
              <w:rPr>
                <w:b/>
              </w:rPr>
              <w:t xml:space="preserve">this </w:t>
            </w:r>
            <w:r w:rsidR="00B46824">
              <w:rPr>
                <w:b/>
              </w:rPr>
              <w:t>evidence</w:t>
            </w:r>
            <w:r>
              <w:rPr>
                <w:b/>
              </w:rPr>
              <w:t xml:space="preserve"> relevant and sufficient)?</w:t>
            </w:r>
          </w:p>
        </w:tc>
      </w:tr>
      <w:tr w:rsidR="002C7FD7">
        <w:trPr>
          <w:trHeight w:val="1365"/>
        </w:trPr>
        <w:tc>
          <w:tcPr>
            <w:tcW w:w="4745" w:type="dxa"/>
          </w:tcPr>
          <w:p w:rsidR="002C7FD7" w:rsidRPr="00DF5111" w:rsidRDefault="002C7FD7" w:rsidP="007E048E">
            <w:pPr>
              <w:pStyle w:val="ToolTableText"/>
            </w:pPr>
          </w:p>
        </w:tc>
        <w:tc>
          <w:tcPr>
            <w:tcW w:w="4745" w:type="dxa"/>
          </w:tcPr>
          <w:p w:rsidR="002C7FD7" w:rsidRDefault="002C7FD7" w:rsidP="007E048E"/>
        </w:tc>
      </w:tr>
      <w:tr w:rsidR="002C7FD7">
        <w:trPr>
          <w:trHeight w:val="1365"/>
        </w:trPr>
        <w:tc>
          <w:tcPr>
            <w:tcW w:w="4745" w:type="dxa"/>
          </w:tcPr>
          <w:p w:rsidR="002C7FD7" w:rsidRDefault="002C7FD7" w:rsidP="007E048E">
            <w:pPr>
              <w:pStyle w:val="ToolTableText"/>
            </w:pPr>
          </w:p>
        </w:tc>
        <w:tc>
          <w:tcPr>
            <w:tcW w:w="4745" w:type="dxa"/>
          </w:tcPr>
          <w:p w:rsidR="002C7FD7" w:rsidRDefault="002C7FD7" w:rsidP="007E048E"/>
        </w:tc>
      </w:tr>
      <w:tr w:rsidR="002C7FD7">
        <w:trPr>
          <w:trHeight w:val="1365"/>
        </w:trPr>
        <w:tc>
          <w:tcPr>
            <w:tcW w:w="4745" w:type="dxa"/>
          </w:tcPr>
          <w:p w:rsidR="002C7FD7" w:rsidRDefault="002C7FD7" w:rsidP="007E048E">
            <w:pPr>
              <w:pStyle w:val="ToolTableText"/>
            </w:pPr>
          </w:p>
        </w:tc>
        <w:tc>
          <w:tcPr>
            <w:tcW w:w="4745" w:type="dxa"/>
          </w:tcPr>
          <w:p w:rsidR="002C7FD7" w:rsidRDefault="002C7FD7" w:rsidP="007E048E"/>
        </w:tc>
      </w:tr>
      <w:tr w:rsidR="002C7FD7">
        <w:trPr>
          <w:trHeight w:val="1365"/>
        </w:trPr>
        <w:tc>
          <w:tcPr>
            <w:tcW w:w="4745" w:type="dxa"/>
          </w:tcPr>
          <w:p w:rsidR="002C7FD7" w:rsidRDefault="002C7FD7" w:rsidP="007E048E">
            <w:pPr>
              <w:pStyle w:val="ToolTableText"/>
            </w:pPr>
          </w:p>
        </w:tc>
        <w:tc>
          <w:tcPr>
            <w:tcW w:w="4745" w:type="dxa"/>
          </w:tcPr>
          <w:p w:rsidR="002C7FD7" w:rsidRDefault="002C7FD7" w:rsidP="007E048E"/>
        </w:tc>
      </w:tr>
      <w:tr w:rsidR="002C7FD7">
        <w:trPr>
          <w:trHeight w:val="1404"/>
        </w:trPr>
        <w:tc>
          <w:tcPr>
            <w:tcW w:w="4745" w:type="dxa"/>
          </w:tcPr>
          <w:p w:rsidR="002C7FD7" w:rsidRDefault="002C7FD7" w:rsidP="007E048E">
            <w:pPr>
              <w:pStyle w:val="ToolTableText"/>
            </w:pPr>
          </w:p>
        </w:tc>
        <w:tc>
          <w:tcPr>
            <w:tcW w:w="4745" w:type="dxa"/>
          </w:tcPr>
          <w:p w:rsidR="002C7FD7" w:rsidRDefault="002C7FD7" w:rsidP="007E048E"/>
        </w:tc>
      </w:tr>
    </w:tbl>
    <w:p w:rsidR="002C7FD7" w:rsidRPr="00EC56ED" w:rsidRDefault="002C7FD7" w:rsidP="00EC56ED">
      <w:r>
        <w:br w:type="page"/>
      </w:r>
    </w:p>
    <w:p w:rsidR="002C7FD7" w:rsidRDefault="002C7FD7" w:rsidP="002C7FD7">
      <w:pPr>
        <w:pStyle w:val="ToolHeader"/>
      </w:pPr>
      <w:r>
        <w:t xml:space="preserve">Lesson 6 Evidence </w:t>
      </w:r>
      <w:r w:rsidR="00B14316">
        <w:t xml:space="preserve">Collection </w:t>
      </w:r>
      <w:r>
        <w:t>Tool (Side 2)</w:t>
      </w:r>
    </w:p>
    <w:p w:rsidR="002C7FD7" w:rsidRPr="00646088" w:rsidRDefault="002C7FD7" w:rsidP="002C7FD7">
      <w:pPr>
        <w:spacing w:before="0" w:after="0"/>
        <w:rPr>
          <w:sz w:val="10"/>
        </w:rPr>
      </w:pPr>
    </w:p>
    <w:tbl>
      <w:tblPr>
        <w:tblStyle w:val="TableGrid1"/>
        <w:tblW w:w="0" w:type="auto"/>
        <w:tblLook w:val="04A0"/>
      </w:tblPr>
      <w:tblGrid>
        <w:gridCol w:w="820"/>
        <w:gridCol w:w="2786"/>
        <w:gridCol w:w="732"/>
        <w:gridCol w:w="3045"/>
        <w:gridCol w:w="720"/>
        <w:gridCol w:w="1373"/>
      </w:tblGrid>
      <w:tr w:rsidR="00270798" w:rsidRPr="00270798">
        <w:trPr>
          <w:trHeight w:val="557"/>
        </w:trPr>
        <w:tc>
          <w:tcPr>
            <w:tcW w:w="816" w:type="dxa"/>
            <w:shd w:val="clear" w:color="auto" w:fill="D9D9D9" w:themeFill="background1" w:themeFillShade="D9"/>
            <w:vAlign w:val="center"/>
          </w:tcPr>
          <w:p w:rsidR="00270798" w:rsidRPr="00270798" w:rsidRDefault="00270798" w:rsidP="00270798">
            <w:pPr>
              <w:spacing w:before="40" w:after="40"/>
              <w:rPr>
                <w:b/>
              </w:rPr>
            </w:pPr>
            <w:r w:rsidRPr="00270798">
              <w:rPr>
                <w:b/>
              </w:rPr>
              <w:t>Name:</w:t>
            </w:r>
          </w:p>
        </w:tc>
        <w:tc>
          <w:tcPr>
            <w:tcW w:w="2786" w:type="dxa"/>
            <w:vAlign w:val="center"/>
          </w:tcPr>
          <w:p w:rsidR="00270798" w:rsidRPr="00270798" w:rsidRDefault="00270798" w:rsidP="00270798">
            <w:pPr>
              <w:spacing w:before="40" w:after="40"/>
              <w:rPr>
                <w:b/>
              </w:rPr>
            </w:pPr>
          </w:p>
        </w:tc>
        <w:tc>
          <w:tcPr>
            <w:tcW w:w="728" w:type="dxa"/>
            <w:shd w:val="clear" w:color="auto" w:fill="D9D9D9" w:themeFill="background1" w:themeFillShade="D9"/>
            <w:vAlign w:val="center"/>
          </w:tcPr>
          <w:p w:rsidR="00270798" w:rsidRPr="00270798" w:rsidRDefault="00270798" w:rsidP="00270798">
            <w:pPr>
              <w:spacing w:before="40" w:after="40"/>
              <w:rPr>
                <w:b/>
              </w:rPr>
            </w:pPr>
            <w:r w:rsidRPr="00270798">
              <w:rPr>
                <w:b/>
              </w:rPr>
              <w:t>Class:</w:t>
            </w:r>
          </w:p>
        </w:tc>
        <w:tc>
          <w:tcPr>
            <w:tcW w:w="3045" w:type="dxa"/>
            <w:vAlign w:val="center"/>
          </w:tcPr>
          <w:p w:rsidR="00270798" w:rsidRPr="00270798" w:rsidRDefault="00270798" w:rsidP="00270798">
            <w:pPr>
              <w:spacing w:before="40" w:after="40"/>
              <w:rPr>
                <w:b/>
              </w:rPr>
            </w:pPr>
          </w:p>
        </w:tc>
        <w:tc>
          <w:tcPr>
            <w:tcW w:w="720" w:type="dxa"/>
            <w:shd w:val="clear" w:color="auto" w:fill="D9D9D9" w:themeFill="background1" w:themeFillShade="D9"/>
            <w:vAlign w:val="center"/>
          </w:tcPr>
          <w:p w:rsidR="00270798" w:rsidRPr="00270798" w:rsidRDefault="00270798" w:rsidP="00270798">
            <w:pPr>
              <w:spacing w:before="40" w:after="40"/>
              <w:rPr>
                <w:b/>
              </w:rPr>
            </w:pPr>
            <w:r w:rsidRPr="00270798">
              <w:rPr>
                <w:b/>
              </w:rPr>
              <w:t>Date:</w:t>
            </w:r>
          </w:p>
        </w:tc>
        <w:tc>
          <w:tcPr>
            <w:tcW w:w="1373" w:type="dxa"/>
            <w:vAlign w:val="center"/>
          </w:tcPr>
          <w:p w:rsidR="00270798" w:rsidRPr="00270798" w:rsidRDefault="00270798" w:rsidP="00270798">
            <w:pPr>
              <w:spacing w:before="40" w:after="40"/>
              <w:rPr>
                <w:b/>
              </w:rPr>
            </w:pPr>
          </w:p>
        </w:tc>
      </w:tr>
    </w:tbl>
    <w:p w:rsidR="00270798" w:rsidRDefault="00270798" w:rsidP="002C7FD7">
      <w:pPr>
        <w:widowControl w:val="0"/>
        <w:autoSpaceDE w:val="0"/>
        <w:autoSpaceDN w:val="0"/>
        <w:adjustRightInd w:val="0"/>
        <w:spacing w:before="0" w:after="0" w:line="240" w:lineRule="auto"/>
        <w:rPr>
          <w:b/>
          <w:bCs/>
        </w:rPr>
      </w:pPr>
    </w:p>
    <w:p w:rsidR="002C7FD7" w:rsidRDefault="002C7FD7" w:rsidP="002C7FD7">
      <w:pPr>
        <w:widowControl w:val="0"/>
        <w:autoSpaceDE w:val="0"/>
        <w:autoSpaceDN w:val="0"/>
        <w:adjustRightInd w:val="0"/>
        <w:spacing w:before="0" w:after="0" w:line="240" w:lineRule="auto"/>
        <w:rPr>
          <w:rFonts w:cs="Calibri"/>
        </w:rPr>
      </w:pPr>
      <w:r w:rsidRPr="00E82B87">
        <w:rPr>
          <w:b/>
          <w:bCs/>
        </w:rPr>
        <w:t xml:space="preserve">Directions: </w:t>
      </w:r>
      <w:r>
        <w:rPr>
          <w:rFonts w:cs="Calibri"/>
        </w:rPr>
        <w:t xml:space="preserve">Now that you have gathered and evaluated evidence in the text and discussed </w:t>
      </w:r>
      <w:r w:rsidR="00B5645D">
        <w:rPr>
          <w:rFonts w:cs="Calibri"/>
        </w:rPr>
        <w:t xml:space="preserve">how relevant </w:t>
      </w:r>
      <w:r>
        <w:rPr>
          <w:rFonts w:cs="Calibri"/>
        </w:rPr>
        <w:t xml:space="preserve">and </w:t>
      </w:r>
      <w:r w:rsidR="00B5645D">
        <w:rPr>
          <w:rFonts w:cs="Calibri"/>
        </w:rPr>
        <w:t>sufficient it is</w:t>
      </w:r>
      <w:r w:rsidR="00B46824">
        <w:rPr>
          <w:rFonts w:cs="Calibri"/>
        </w:rPr>
        <w:t>,</w:t>
      </w:r>
      <w:r>
        <w:rPr>
          <w:rFonts w:cs="Calibri"/>
        </w:rPr>
        <w:t xml:space="preserve"> evaluate Skloot’s claim in a brief response</w:t>
      </w:r>
      <w:r w:rsidR="00B46824">
        <w:rPr>
          <w:rFonts w:cs="Calibri"/>
        </w:rPr>
        <w:t xml:space="preserve"> to the following prompt:</w:t>
      </w:r>
    </w:p>
    <w:p w:rsidR="002C7FD7" w:rsidRDefault="002C7FD7" w:rsidP="00270798">
      <w:pPr>
        <w:pStyle w:val="Q"/>
      </w:pPr>
      <w:r w:rsidRPr="00E82B87">
        <w:t xml:space="preserve">Evaluate Skloot's </w:t>
      </w:r>
      <w:r>
        <w:t>claim</w:t>
      </w:r>
      <w:r w:rsidRPr="00E82B87">
        <w:t xml:space="preserve"> in paragraph 4 on page 130, and determine whether the evidence in the rest of the </w:t>
      </w:r>
      <w:r>
        <w:t>excerpt</w:t>
      </w:r>
      <w:r w:rsidRPr="00E82B87">
        <w:t xml:space="preserve"> is relevant and sufficient to support her </w:t>
      </w:r>
      <w:r>
        <w:t>claim</w:t>
      </w:r>
      <w:r w:rsidRPr="00E82B87">
        <w:t>.</w:t>
      </w:r>
    </w:p>
    <w:tbl>
      <w:tblPr>
        <w:tblStyle w:val="TableGrid"/>
        <w:tblW w:w="0" w:type="auto"/>
        <w:tblLook w:val="04A0"/>
      </w:tblPr>
      <w:tblGrid>
        <w:gridCol w:w="9468"/>
      </w:tblGrid>
      <w:tr w:rsidR="00167364" w:rsidTr="00D7518A">
        <w:trPr>
          <w:trHeight w:val="7920"/>
        </w:trPr>
        <w:tc>
          <w:tcPr>
            <w:tcW w:w="9468" w:type="dxa"/>
          </w:tcPr>
          <w:p w:rsidR="00167364" w:rsidRDefault="00167364" w:rsidP="007E5A93"/>
        </w:tc>
      </w:tr>
    </w:tbl>
    <w:p w:rsidR="002C7FD7" w:rsidRPr="007E5A93" w:rsidRDefault="002C7FD7" w:rsidP="007E5A93">
      <w:r>
        <w:br w:type="page"/>
      </w:r>
    </w:p>
    <w:p w:rsidR="00D7518A" w:rsidRDefault="00D7518A" w:rsidP="00D7518A">
      <w:pPr>
        <w:pStyle w:val="ToolHeader"/>
      </w:pPr>
      <w:r>
        <w:t>Model Lesson 6 Evidence Collection Tool (Side 1)</w:t>
      </w:r>
    </w:p>
    <w:tbl>
      <w:tblPr>
        <w:tblStyle w:val="TableGrid"/>
        <w:tblW w:w="0" w:type="auto"/>
        <w:tblLook w:val="04A0"/>
      </w:tblPr>
      <w:tblGrid>
        <w:gridCol w:w="820"/>
        <w:gridCol w:w="2786"/>
        <w:gridCol w:w="732"/>
        <w:gridCol w:w="3045"/>
        <w:gridCol w:w="720"/>
        <w:gridCol w:w="1373"/>
      </w:tblGrid>
      <w:tr w:rsidR="00D7518A" w:rsidRPr="00707670" w:rsidTr="00DF5126">
        <w:trPr>
          <w:trHeight w:val="557"/>
        </w:trPr>
        <w:tc>
          <w:tcPr>
            <w:tcW w:w="816" w:type="dxa"/>
            <w:shd w:val="clear" w:color="auto" w:fill="D9D9D9" w:themeFill="background1" w:themeFillShade="D9"/>
            <w:vAlign w:val="center"/>
          </w:tcPr>
          <w:p w:rsidR="00D7518A" w:rsidRPr="00707670" w:rsidRDefault="00D7518A" w:rsidP="00DF5126">
            <w:pPr>
              <w:pStyle w:val="TableText"/>
              <w:rPr>
                <w:b/>
              </w:rPr>
            </w:pPr>
            <w:r w:rsidRPr="00707670">
              <w:rPr>
                <w:b/>
              </w:rPr>
              <w:t>Name:</w:t>
            </w:r>
          </w:p>
        </w:tc>
        <w:tc>
          <w:tcPr>
            <w:tcW w:w="2786" w:type="dxa"/>
            <w:vAlign w:val="center"/>
          </w:tcPr>
          <w:p w:rsidR="00D7518A" w:rsidRPr="00707670" w:rsidRDefault="00D7518A" w:rsidP="00DF5126">
            <w:pPr>
              <w:pStyle w:val="TableText"/>
              <w:rPr>
                <w:b/>
              </w:rPr>
            </w:pPr>
          </w:p>
        </w:tc>
        <w:tc>
          <w:tcPr>
            <w:tcW w:w="728" w:type="dxa"/>
            <w:shd w:val="clear" w:color="auto" w:fill="D9D9D9" w:themeFill="background1" w:themeFillShade="D9"/>
            <w:vAlign w:val="center"/>
          </w:tcPr>
          <w:p w:rsidR="00D7518A" w:rsidRPr="00707670" w:rsidRDefault="00D7518A" w:rsidP="00DF5126">
            <w:pPr>
              <w:pStyle w:val="TableText"/>
              <w:rPr>
                <w:b/>
              </w:rPr>
            </w:pPr>
            <w:r w:rsidRPr="00707670">
              <w:rPr>
                <w:b/>
              </w:rPr>
              <w:t>Class:</w:t>
            </w:r>
          </w:p>
        </w:tc>
        <w:tc>
          <w:tcPr>
            <w:tcW w:w="3045" w:type="dxa"/>
            <w:vAlign w:val="center"/>
          </w:tcPr>
          <w:p w:rsidR="00D7518A" w:rsidRPr="00707670" w:rsidRDefault="00D7518A" w:rsidP="00DF5126">
            <w:pPr>
              <w:pStyle w:val="TableText"/>
              <w:rPr>
                <w:b/>
              </w:rPr>
            </w:pPr>
          </w:p>
        </w:tc>
        <w:tc>
          <w:tcPr>
            <w:tcW w:w="720" w:type="dxa"/>
            <w:shd w:val="clear" w:color="auto" w:fill="D9D9D9" w:themeFill="background1" w:themeFillShade="D9"/>
            <w:vAlign w:val="center"/>
          </w:tcPr>
          <w:p w:rsidR="00D7518A" w:rsidRPr="00707670" w:rsidRDefault="00D7518A" w:rsidP="00DF5126">
            <w:pPr>
              <w:pStyle w:val="TableText"/>
              <w:rPr>
                <w:b/>
              </w:rPr>
            </w:pPr>
            <w:r w:rsidRPr="00707670">
              <w:rPr>
                <w:b/>
              </w:rPr>
              <w:t>Date:</w:t>
            </w:r>
          </w:p>
        </w:tc>
        <w:tc>
          <w:tcPr>
            <w:tcW w:w="1373" w:type="dxa"/>
            <w:vAlign w:val="center"/>
          </w:tcPr>
          <w:p w:rsidR="00D7518A" w:rsidRPr="00707670" w:rsidRDefault="00D7518A" w:rsidP="00DF5126">
            <w:pPr>
              <w:pStyle w:val="TableText"/>
              <w:rPr>
                <w:b/>
              </w:rPr>
            </w:pPr>
          </w:p>
        </w:tc>
      </w:tr>
    </w:tbl>
    <w:p w:rsidR="00D7518A" w:rsidRPr="00646088" w:rsidRDefault="00D7518A" w:rsidP="00D7518A">
      <w:pPr>
        <w:spacing w:before="0" w:after="0"/>
        <w:rPr>
          <w:sz w:val="10"/>
        </w:rPr>
      </w:pPr>
    </w:p>
    <w:tbl>
      <w:tblPr>
        <w:tblStyle w:val="TableGrid"/>
        <w:tblW w:w="9490" w:type="dxa"/>
        <w:tblLook w:val="04A0"/>
      </w:tblPr>
      <w:tblGrid>
        <w:gridCol w:w="4745"/>
        <w:gridCol w:w="4745"/>
      </w:tblGrid>
      <w:tr w:rsidR="00D7518A" w:rsidRPr="00646088" w:rsidTr="00DF5126">
        <w:trPr>
          <w:trHeight w:val="1022"/>
        </w:trPr>
        <w:tc>
          <w:tcPr>
            <w:tcW w:w="9490" w:type="dxa"/>
            <w:gridSpan w:val="2"/>
            <w:shd w:val="clear" w:color="auto" w:fill="auto"/>
          </w:tcPr>
          <w:p w:rsidR="00D7518A" w:rsidRPr="00DF5DD7" w:rsidRDefault="00D7518A" w:rsidP="00DF5126">
            <w:pPr>
              <w:pStyle w:val="ToolTableText"/>
            </w:pPr>
            <w:r>
              <w:rPr>
                <w:b/>
              </w:rPr>
              <w:t xml:space="preserve">Issue: </w:t>
            </w:r>
            <w:r>
              <w:t>Informed Consent</w:t>
            </w:r>
          </w:p>
          <w:p w:rsidR="00D7518A" w:rsidRDefault="00D7518A" w:rsidP="00DF5126">
            <w:pPr>
              <w:pStyle w:val="ToolTableText"/>
              <w:rPr>
                <w:b/>
              </w:rPr>
            </w:pPr>
            <w:r>
              <w:rPr>
                <w:b/>
              </w:rPr>
              <w:t xml:space="preserve">Claim: </w:t>
            </w:r>
            <w:r w:rsidRPr="00DF5DD7">
              <w:t>Southam lied and did not explain his experiments because patients may not have agreed, “The deception was for his benefit” (p. 130).</w:t>
            </w:r>
          </w:p>
        </w:tc>
      </w:tr>
      <w:tr w:rsidR="00D7518A" w:rsidRPr="00646088" w:rsidTr="00DF5126">
        <w:trPr>
          <w:trHeight w:val="642"/>
        </w:trPr>
        <w:tc>
          <w:tcPr>
            <w:tcW w:w="4745" w:type="dxa"/>
            <w:shd w:val="clear" w:color="auto" w:fill="D9D9D9" w:themeFill="background1" w:themeFillShade="D9"/>
          </w:tcPr>
          <w:p w:rsidR="00D7518A" w:rsidRPr="00646088" w:rsidRDefault="00D7518A" w:rsidP="00DF5126">
            <w:pPr>
              <w:pStyle w:val="ToolTableText"/>
              <w:rPr>
                <w:b/>
              </w:rPr>
            </w:pPr>
            <w:r>
              <w:rPr>
                <w:b/>
              </w:rPr>
              <w:t>Evidence</w:t>
            </w:r>
          </w:p>
        </w:tc>
        <w:tc>
          <w:tcPr>
            <w:tcW w:w="4745" w:type="dxa"/>
            <w:shd w:val="clear" w:color="auto" w:fill="D9D9D9" w:themeFill="background1" w:themeFillShade="D9"/>
          </w:tcPr>
          <w:p w:rsidR="00D7518A" w:rsidRPr="00646088" w:rsidRDefault="00D7518A" w:rsidP="00DF5126">
            <w:pPr>
              <w:pStyle w:val="ToolTableText"/>
              <w:rPr>
                <w:b/>
              </w:rPr>
            </w:pPr>
            <w:r>
              <w:rPr>
                <w:b/>
              </w:rPr>
              <w:t>How does this evidence contribute to Skloot’s claim (is this evidence relevant and sufficient)?</w:t>
            </w:r>
          </w:p>
        </w:tc>
      </w:tr>
      <w:tr w:rsidR="00D7518A" w:rsidTr="00DF5126">
        <w:trPr>
          <w:trHeight w:val="1339"/>
        </w:trPr>
        <w:tc>
          <w:tcPr>
            <w:tcW w:w="4745" w:type="dxa"/>
          </w:tcPr>
          <w:p w:rsidR="00D7518A" w:rsidRPr="00DF5111" w:rsidRDefault="00D7518A" w:rsidP="00DF5126">
            <w:pPr>
              <w:pStyle w:val="ToolTableText"/>
            </w:pPr>
            <w:r>
              <w:t>“Informed consent focused on what doctors were required” to “it might apply to research like Southam’s” (p. 132).</w:t>
            </w:r>
          </w:p>
        </w:tc>
        <w:tc>
          <w:tcPr>
            <w:tcW w:w="4745" w:type="dxa"/>
          </w:tcPr>
          <w:p w:rsidR="00D7518A" w:rsidRDefault="00D7518A" w:rsidP="00DF5126">
            <w:pPr>
              <w:pStyle w:val="ToolTableText"/>
            </w:pPr>
            <w:r>
              <w:t>This evidence contributes to Skloot’s claim because it explains the facts in the legal system Southam used to avoid telling his patients what he was doing.</w:t>
            </w:r>
          </w:p>
        </w:tc>
      </w:tr>
      <w:tr w:rsidR="00D7518A" w:rsidTr="00DF5126">
        <w:trPr>
          <w:trHeight w:val="1339"/>
        </w:trPr>
        <w:tc>
          <w:tcPr>
            <w:tcW w:w="4745" w:type="dxa"/>
          </w:tcPr>
          <w:p w:rsidR="00D7518A" w:rsidRDefault="00D7518A" w:rsidP="00DF5126">
            <w:pPr>
              <w:pStyle w:val="ToolTableText"/>
            </w:pPr>
            <w:r>
              <w:t xml:space="preserve">“He [Southam] told them [patients] he was testing” to “nothing about injecting them with someone else’s malignant cells” (p. 128). </w:t>
            </w:r>
          </w:p>
        </w:tc>
        <w:tc>
          <w:tcPr>
            <w:tcW w:w="4745" w:type="dxa"/>
          </w:tcPr>
          <w:p w:rsidR="00D7518A" w:rsidRDefault="00D7518A" w:rsidP="00DF5126">
            <w:pPr>
              <w:pStyle w:val="ToolTableText"/>
            </w:pPr>
            <w:r>
              <w:t>This evidence is extremely relevant because it is the first instance where Southam started his experiments and used HeLa. Not only does he not tell the patients about the malignant cells but he says it is something completely different.</w:t>
            </w:r>
          </w:p>
        </w:tc>
      </w:tr>
      <w:tr w:rsidR="00D7518A" w:rsidTr="00DF5126">
        <w:trPr>
          <w:trHeight w:val="1339"/>
        </w:trPr>
        <w:tc>
          <w:tcPr>
            <w:tcW w:w="4745" w:type="dxa"/>
          </w:tcPr>
          <w:p w:rsidR="00D7518A" w:rsidRDefault="00D7518A" w:rsidP="00DF5126">
            <w:pPr>
              <w:pStyle w:val="ToolTableText"/>
            </w:pPr>
            <w:r>
              <w:t>“</w:t>
            </w:r>
            <w:proofErr w:type="gramStart"/>
            <w:r>
              <w:t>soon</w:t>
            </w:r>
            <w:proofErr w:type="gramEnd"/>
            <w:r>
              <w:t xml:space="preserve"> after the end” to “was elected president of the American Association for Cancer Research” (p. 135).</w:t>
            </w:r>
          </w:p>
        </w:tc>
        <w:tc>
          <w:tcPr>
            <w:tcW w:w="4745" w:type="dxa"/>
          </w:tcPr>
          <w:p w:rsidR="00D7518A" w:rsidRDefault="00D7518A" w:rsidP="00DF5126">
            <w:pPr>
              <w:pStyle w:val="ToolTableText"/>
            </w:pPr>
            <w:r>
              <w:t xml:space="preserve">Southam was promoted to a prestigious position because of his experiments. This is relevant because it shows how greatly he benefited from his experiments. </w:t>
            </w:r>
          </w:p>
        </w:tc>
      </w:tr>
      <w:tr w:rsidR="00D7518A" w:rsidTr="00DF5126">
        <w:trPr>
          <w:trHeight w:val="1339"/>
        </w:trPr>
        <w:tc>
          <w:tcPr>
            <w:tcW w:w="4745" w:type="dxa"/>
          </w:tcPr>
          <w:p w:rsidR="00D7518A" w:rsidRDefault="00D7518A" w:rsidP="00DF5126">
            <w:pPr>
              <w:pStyle w:val="ToolTableText"/>
            </w:pPr>
            <w:r>
              <w:t>“</w:t>
            </w:r>
            <w:proofErr w:type="gramStart"/>
            <w:r>
              <w:t>the</w:t>
            </w:r>
            <w:proofErr w:type="gramEnd"/>
            <w:r>
              <w:t xml:space="preserve"> patients in the study wouldn’t have been capable of giving informed consent” to “one had advanced Parkinson’s disease” (p. 133).</w:t>
            </w:r>
          </w:p>
        </w:tc>
        <w:tc>
          <w:tcPr>
            <w:tcW w:w="4745" w:type="dxa"/>
          </w:tcPr>
          <w:p w:rsidR="00D7518A" w:rsidRDefault="00D7518A" w:rsidP="00DF5126">
            <w:pPr>
              <w:pStyle w:val="ToolTableText"/>
            </w:pPr>
            <w:r>
              <w:t>This supports Skloot’s claim because it shows that the experiments targeted those who could not fully understand what was happening to them. They were unable to comprehend informed consent and were extremely vulnerable.</w:t>
            </w:r>
          </w:p>
        </w:tc>
      </w:tr>
      <w:tr w:rsidR="00D7518A" w:rsidTr="00DF5126">
        <w:trPr>
          <w:trHeight w:val="1294"/>
        </w:trPr>
        <w:tc>
          <w:tcPr>
            <w:tcW w:w="4745" w:type="dxa"/>
          </w:tcPr>
          <w:p w:rsidR="00D7518A" w:rsidRDefault="00D7518A" w:rsidP="00DF5126">
            <w:pPr>
              <w:pStyle w:val="ToolTableText"/>
            </w:pPr>
            <w:r>
              <w:t>“Because of that ‘phobia and ignorance,’ Southam wrote, he didn’t tell patients” to “he didn’t want to cause any unnecessary fear” (p. 130).</w:t>
            </w:r>
          </w:p>
        </w:tc>
        <w:tc>
          <w:tcPr>
            <w:tcW w:w="4745" w:type="dxa"/>
          </w:tcPr>
          <w:p w:rsidR="00D7518A" w:rsidRDefault="00D7518A" w:rsidP="00DF5126">
            <w:pPr>
              <w:pStyle w:val="ToolTableText"/>
            </w:pPr>
            <w:r>
              <w:t>This evidence is somewhat relevant because it presents Southam’s perspective and because Skloot uses his words “phobia and ignorance” (p. 130) to demonstrate that his reasoning was not as valid as looking out for the patient’s wellbeing.</w:t>
            </w:r>
          </w:p>
        </w:tc>
      </w:tr>
    </w:tbl>
    <w:p w:rsidR="00D7518A" w:rsidRDefault="00D7518A" w:rsidP="00D7518A">
      <w:pPr>
        <w:spacing w:before="0" w:after="0" w:line="240" w:lineRule="auto"/>
      </w:pPr>
    </w:p>
    <w:p w:rsidR="00D7518A" w:rsidRPr="007E5A93" w:rsidRDefault="00D7518A" w:rsidP="00D7518A">
      <w:r>
        <w:br w:type="page"/>
      </w:r>
    </w:p>
    <w:p w:rsidR="00E82B87" w:rsidRDefault="003204E8" w:rsidP="00E82B87">
      <w:pPr>
        <w:pStyle w:val="ToolHeader"/>
      </w:pPr>
      <w:bookmarkStart w:id="0" w:name="_GoBack"/>
      <w:bookmarkEnd w:id="0"/>
      <w:r>
        <w:t xml:space="preserve">Model </w:t>
      </w:r>
      <w:r w:rsidR="00E82B87">
        <w:t xml:space="preserve">Lesson 6 Evidence </w:t>
      </w:r>
      <w:r w:rsidR="00E67BBB">
        <w:t xml:space="preserve">Collection </w:t>
      </w:r>
      <w:r w:rsidR="00E82B87">
        <w:t>Tool (Side 2)</w:t>
      </w:r>
    </w:p>
    <w:tbl>
      <w:tblPr>
        <w:tblStyle w:val="TableGrid"/>
        <w:tblW w:w="0" w:type="auto"/>
        <w:tblLook w:val="04A0"/>
      </w:tblPr>
      <w:tblGrid>
        <w:gridCol w:w="820"/>
        <w:gridCol w:w="2786"/>
        <w:gridCol w:w="732"/>
        <w:gridCol w:w="3045"/>
        <w:gridCol w:w="720"/>
        <w:gridCol w:w="1373"/>
      </w:tblGrid>
      <w:tr w:rsidR="0027539D" w:rsidRPr="00707670">
        <w:trPr>
          <w:trHeight w:val="557"/>
        </w:trPr>
        <w:tc>
          <w:tcPr>
            <w:tcW w:w="816" w:type="dxa"/>
            <w:shd w:val="clear" w:color="auto" w:fill="D9D9D9" w:themeFill="background1" w:themeFillShade="D9"/>
            <w:vAlign w:val="center"/>
          </w:tcPr>
          <w:p w:rsidR="0027539D" w:rsidRPr="00707670" w:rsidRDefault="0027539D" w:rsidP="007E048E">
            <w:pPr>
              <w:pStyle w:val="TableText"/>
              <w:rPr>
                <w:b/>
              </w:rPr>
            </w:pPr>
            <w:r w:rsidRPr="00707670">
              <w:rPr>
                <w:b/>
              </w:rPr>
              <w:t>Name:</w:t>
            </w:r>
          </w:p>
        </w:tc>
        <w:tc>
          <w:tcPr>
            <w:tcW w:w="2786" w:type="dxa"/>
            <w:vAlign w:val="center"/>
          </w:tcPr>
          <w:p w:rsidR="0027539D" w:rsidRPr="00707670" w:rsidRDefault="0027539D" w:rsidP="007E048E">
            <w:pPr>
              <w:pStyle w:val="TableText"/>
              <w:rPr>
                <w:b/>
              </w:rPr>
            </w:pPr>
          </w:p>
        </w:tc>
        <w:tc>
          <w:tcPr>
            <w:tcW w:w="728" w:type="dxa"/>
            <w:shd w:val="clear" w:color="auto" w:fill="D9D9D9" w:themeFill="background1" w:themeFillShade="D9"/>
            <w:vAlign w:val="center"/>
          </w:tcPr>
          <w:p w:rsidR="0027539D" w:rsidRPr="00707670" w:rsidRDefault="0027539D" w:rsidP="007E048E">
            <w:pPr>
              <w:pStyle w:val="TableText"/>
              <w:rPr>
                <w:b/>
              </w:rPr>
            </w:pPr>
            <w:r w:rsidRPr="00707670">
              <w:rPr>
                <w:b/>
              </w:rPr>
              <w:t>Class:</w:t>
            </w:r>
          </w:p>
        </w:tc>
        <w:tc>
          <w:tcPr>
            <w:tcW w:w="3045" w:type="dxa"/>
            <w:vAlign w:val="center"/>
          </w:tcPr>
          <w:p w:rsidR="0027539D" w:rsidRPr="00707670" w:rsidRDefault="0027539D" w:rsidP="007E048E">
            <w:pPr>
              <w:pStyle w:val="TableText"/>
              <w:rPr>
                <w:b/>
              </w:rPr>
            </w:pPr>
          </w:p>
        </w:tc>
        <w:tc>
          <w:tcPr>
            <w:tcW w:w="720" w:type="dxa"/>
            <w:shd w:val="clear" w:color="auto" w:fill="D9D9D9" w:themeFill="background1" w:themeFillShade="D9"/>
            <w:vAlign w:val="center"/>
          </w:tcPr>
          <w:p w:rsidR="0027539D" w:rsidRPr="00707670" w:rsidRDefault="0027539D" w:rsidP="007E048E">
            <w:pPr>
              <w:pStyle w:val="TableText"/>
              <w:rPr>
                <w:b/>
              </w:rPr>
            </w:pPr>
            <w:r w:rsidRPr="00707670">
              <w:rPr>
                <w:b/>
              </w:rPr>
              <w:t>Date:</w:t>
            </w:r>
          </w:p>
        </w:tc>
        <w:tc>
          <w:tcPr>
            <w:tcW w:w="1373" w:type="dxa"/>
            <w:vAlign w:val="center"/>
          </w:tcPr>
          <w:p w:rsidR="0027539D" w:rsidRPr="00707670" w:rsidRDefault="0027539D" w:rsidP="007E048E">
            <w:pPr>
              <w:pStyle w:val="TableText"/>
              <w:rPr>
                <w:b/>
              </w:rPr>
            </w:pPr>
          </w:p>
        </w:tc>
      </w:tr>
    </w:tbl>
    <w:p w:rsidR="00E82B87" w:rsidRPr="00E82B87" w:rsidRDefault="00E82B87" w:rsidP="00E82B87">
      <w:pPr>
        <w:widowControl w:val="0"/>
        <w:autoSpaceDE w:val="0"/>
        <w:autoSpaceDN w:val="0"/>
        <w:adjustRightInd w:val="0"/>
        <w:spacing w:before="0" w:after="0" w:line="240" w:lineRule="auto"/>
        <w:rPr>
          <w:rFonts w:cs="Calibri"/>
          <w:color w:val="000000"/>
          <w:sz w:val="24"/>
          <w:szCs w:val="24"/>
        </w:rPr>
      </w:pPr>
    </w:p>
    <w:p w:rsidR="00E82B87" w:rsidRDefault="00E82B87" w:rsidP="00323CB7">
      <w:pPr>
        <w:widowControl w:val="0"/>
        <w:autoSpaceDE w:val="0"/>
        <w:autoSpaceDN w:val="0"/>
        <w:adjustRightInd w:val="0"/>
        <w:spacing w:before="0" w:after="0" w:line="240" w:lineRule="auto"/>
        <w:rPr>
          <w:rFonts w:cs="Calibri"/>
        </w:rPr>
      </w:pPr>
      <w:r w:rsidRPr="00E82B87">
        <w:rPr>
          <w:b/>
          <w:bCs/>
        </w:rPr>
        <w:t xml:space="preserve">Directions: </w:t>
      </w:r>
      <w:r>
        <w:rPr>
          <w:rFonts w:cs="Calibri"/>
        </w:rPr>
        <w:t xml:space="preserve">Now that you have gathered and evaluated evidence in the text and discussed </w:t>
      </w:r>
      <w:r w:rsidR="00A85272">
        <w:rPr>
          <w:rFonts w:cs="Calibri"/>
        </w:rPr>
        <w:t>how relevant</w:t>
      </w:r>
      <w:r>
        <w:rPr>
          <w:rFonts w:cs="Calibri"/>
        </w:rPr>
        <w:t xml:space="preserve"> and </w:t>
      </w:r>
      <w:r w:rsidR="00A85272">
        <w:rPr>
          <w:rFonts w:cs="Calibri"/>
        </w:rPr>
        <w:t>sufficient it is</w:t>
      </w:r>
      <w:r w:rsidR="00146843">
        <w:rPr>
          <w:rFonts w:cs="Calibri"/>
        </w:rPr>
        <w:t>,</w:t>
      </w:r>
      <w:r>
        <w:rPr>
          <w:rFonts w:cs="Calibri"/>
        </w:rPr>
        <w:t xml:space="preserve"> evaluate Skloot’s </w:t>
      </w:r>
      <w:r w:rsidR="00D45DDF">
        <w:rPr>
          <w:rFonts w:cs="Calibri"/>
        </w:rPr>
        <w:t>claim</w:t>
      </w:r>
      <w:r>
        <w:rPr>
          <w:rFonts w:cs="Calibri"/>
        </w:rPr>
        <w:t xml:space="preserve"> in a brief response</w:t>
      </w:r>
      <w:r w:rsidR="00B01F00">
        <w:rPr>
          <w:rFonts w:cs="Calibri"/>
        </w:rPr>
        <w:t xml:space="preserve"> to the following prompt:</w:t>
      </w:r>
    </w:p>
    <w:p w:rsidR="00707670" w:rsidRDefault="00E82B87" w:rsidP="0027539D">
      <w:pPr>
        <w:pStyle w:val="Q"/>
      </w:pPr>
      <w:r w:rsidRPr="00E82B87">
        <w:t xml:space="preserve">Evaluate Skloot's </w:t>
      </w:r>
      <w:r w:rsidR="00D45DDF">
        <w:t>claim</w:t>
      </w:r>
      <w:r w:rsidRPr="00E82B87">
        <w:t xml:space="preserve"> in paragraph 4 on page 130, and determine whether the evidence in the rest of the </w:t>
      </w:r>
      <w:r w:rsidR="00916B0C">
        <w:t>excerpt</w:t>
      </w:r>
      <w:r w:rsidRPr="00E82B87">
        <w:t xml:space="preserve"> is relevant and sufficient to support her </w:t>
      </w:r>
      <w:r w:rsidR="00D45DDF">
        <w:t>claim</w:t>
      </w:r>
      <w:r w:rsidRPr="00E82B87">
        <w:t>.</w:t>
      </w:r>
    </w:p>
    <w:tbl>
      <w:tblPr>
        <w:tblStyle w:val="TableGrid"/>
        <w:tblW w:w="0" w:type="auto"/>
        <w:tblLook w:val="04A0"/>
      </w:tblPr>
      <w:tblGrid>
        <w:gridCol w:w="9468"/>
      </w:tblGrid>
      <w:tr w:rsidR="00167364" w:rsidTr="00D7518A">
        <w:trPr>
          <w:trHeight w:val="7920"/>
        </w:trPr>
        <w:tc>
          <w:tcPr>
            <w:tcW w:w="9468" w:type="dxa"/>
          </w:tcPr>
          <w:p w:rsidR="00167364" w:rsidRDefault="00167364" w:rsidP="00167364">
            <w:pPr>
              <w:pStyle w:val="SR"/>
            </w:pPr>
            <w:r>
              <w:t>A High Performance Response should:</w:t>
            </w:r>
          </w:p>
          <w:p w:rsidR="00167364" w:rsidRDefault="00167364" w:rsidP="00167364">
            <w:pPr>
              <w:pStyle w:val="SASRBullet"/>
            </w:pPr>
            <w:r>
              <w:t>Delineate Skloot’s claim in this portion of text (e.g., Identifying the examples of Southam’s cancer research, the supporting evidence that suggests Southam benefited from the research, why Southam did not give informed consent, etc.</w:t>
            </w:r>
            <w:r w:rsidRPr="00DF5DD7">
              <w:t>).</w:t>
            </w:r>
          </w:p>
          <w:p w:rsidR="00167364" w:rsidRDefault="00167364" w:rsidP="00167364">
            <w:pPr>
              <w:pStyle w:val="SASRBullet"/>
            </w:pPr>
            <w:r>
              <w:t>Evaluate Skloot’s claim synthesizing the evidence gathered (e.g., It is clear that Southam lied to his patient because “he said nothing about injecting them with someone else’s malignant cells” and, as a result of this research, was eventually elected as “president of the American Association for Cancer Research.” This demonstrates that Southam directly benefited from the research, and may not have benefited in this way if he had told patients what was in the “saline solution.”)</w:t>
            </w:r>
          </w:p>
          <w:p w:rsidR="00167364" w:rsidRDefault="00167364" w:rsidP="00167364">
            <w:pPr>
              <w:pStyle w:val="SASRBullet"/>
            </w:pPr>
            <w:r>
              <w:t>Determine whether the evidence is relevant and sufficient to support Skloot’s claim (e.g., Skloot gives a sufficient amount of evidence to support her claim that Southam lied for his own benefit: “When Southam reported his results the press hailed them as a tremendous breakthrough.” Skloot also uses relevant examples, such as the Nazi doctors and the Nuremberg Trials, to develop the importance of “ethical boundaries” in the medical profession. Southam was testing on patients who “wouldn’t have been capable of giving informed consent.”)</w:t>
            </w:r>
          </w:p>
          <w:p w:rsidR="00167364" w:rsidRDefault="00167364" w:rsidP="0027539D">
            <w:pPr>
              <w:pStyle w:val="Q"/>
            </w:pPr>
          </w:p>
        </w:tc>
      </w:tr>
    </w:tbl>
    <w:p w:rsidR="00167364" w:rsidRDefault="00167364" w:rsidP="00167364">
      <w:pPr>
        <w:pStyle w:val="SASRBullet"/>
        <w:numPr>
          <w:ilvl w:val="0"/>
          <w:numId w:val="0"/>
        </w:numPr>
      </w:pPr>
    </w:p>
    <w:sectPr w:rsidR="00167364"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ED" w:rsidRDefault="00B710ED" w:rsidP="00E946A0">
      <w:r>
        <w:separator/>
      </w:r>
    </w:p>
    <w:p w:rsidR="00B710ED" w:rsidRDefault="00B710ED" w:rsidP="00E946A0"/>
  </w:endnote>
  <w:endnote w:type="continuationSeparator" w:id="0">
    <w:p w:rsidR="00B710ED" w:rsidRDefault="00B710ED" w:rsidP="00E946A0">
      <w:r>
        <w:continuationSeparator/>
      </w:r>
    </w:p>
    <w:p w:rsidR="00B710ED" w:rsidRDefault="00B710ED"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BEDACEF-2070-402D-B216-901310FBBF88}"/>
  </w:font>
  <w:font w:name="Times New Roman">
    <w:panose1 w:val="02020603050405020304"/>
    <w:charset w:val="00"/>
    <w:family w:val="roman"/>
    <w:pitch w:val="variable"/>
    <w:sig w:usb0="E0002AFF" w:usb1="C0007841" w:usb2="00000009" w:usb3="00000000" w:csb0="000001FF" w:csb1="00000000"/>
    <w:embedRegular r:id="rId2" w:subsetted="1" w:fontKey="{3E976FD5-CA32-46BB-8470-5CD2B9550B8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FE" w:rsidRDefault="00296DB1" w:rsidP="00E946A0">
    <w:pPr>
      <w:pStyle w:val="Footer"/>
      <w:rPr>
        <w:rStyle w:val="PageNumber"/>
        <w:rFonts w:ascii="Calibri" w:hAnsi="Calibri"/>
        <w:sz w:val="22"/>
      </w:rPr>
    </w:pPr>
    <w:r>
      <w:rPr>
        <w:rStyle w:val="PageNumber"/>
      </w:rPr>
      <w:fldChar w:fldCharType="begin"/>
    </w:r>
    <w:r w:rsidR="00CB3CFE">
      <w:rPr>
        <w:rStyle w:val="PageNumber"/>
      </w:rPr>
      <w:instrText xml:space="preserve">PAGE  </w:instrText>
    </w:r>
    <w:r>
      <w:rPr>
        <w:rStyle w:val="PageNumber"/>
      </w:rPr>
      <w:fldChar w:fldCharType="separate"/>
    </w:r>
    <w:r w:rsidR="007C5A7B">
      <w:rPr>
        <w:rStyle w:val="PageNumber"/>
        <w:noProof/>
      </w:rPr>
      <w:t>12</w:t>
    </w:r>
    <w:r>
      <w:rPr>
        <w:rStyle w:val="PageNumber"/>
      </w:rPr>
      <w:fldChar w:fldCharType="end"/>
    </w:r>
  </w:p>
  <w:p w:rsidR="00CB3CFE" w:rsidRDefault="00CB3CFE" w:rsidP="00E946A0">
    <w:pPr>
      <w:pStyle w:val="Footer"/>
    </w:pPr>
  </w:p>
  <w:p w:rsidR="00CB3CFE" w:rsidRDefault="00CB3CFE" w:rsidP="00E946A0"/>
  <w:p w:rsidR="00CB3CFE" w:rsidRDefault="00CB3CFE"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FE" w:rsidRPr="00563CB8" w:rsidRDefault="00CB3CFE"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B3CFE">
      <w:trPr>
        <w:trHeight w:val="705"/>
      </w:trPr>
      <w:tc>
        <w:tcPr>
          <w:tcW w:w="4609" w:type="dxa"/>
          <w:shd w:val="clear" w:color="auto" w:fill="auto"/>
          <w:vAlign w:val="center"/>
        </w:tcPr>
        <w:p w:rsidR="00CB3CFE" w:rsidRPr="0074767E" w:rsidRDefault="00CB3CFE" w:rsidP="004F2969">
          <w:pPr>
            <w:pStyle w:val="FooterText"/>
            <w:rPr>
              <w:rFonts w:asciiTheme="minorHAnsi" w:hAnsiTheme="minorHAnsi"/>
            </w:rPr>
          </w:pPr>
          <w:r w:rsidRPr="0074767E">
            <w:rPr>
              <w:rFonts w:asciiTheme="minorHAnsi" w:hAnsiTheme="minorHAnsi"/>
            </w:rPr>
            <w:t>File:</w:t>
          </w:r>
          <w:r w:rsidRPr="0074767E">
            <w:rPr>
              <w:rFonts w:asciiTheme="minorHAnsi" w:hAnsiTheme="minorHAnsi"/>
              <w:b w:val="0"/>
            </w:rPr>
            <w:t xml:space="preserve"> 10.3.1 Lesson 6</w:t>
          </w:r>
          <w:r w:rsidRPr="0074767E">
            <w:rPr>
              <w:rFonts w:asciiTheme="minorHAnsi" w:hAnsiTheme="minorHAnsi"/>
            </w:rPr>
            <w:t xml:space="preserve"> Date:</w:t>
          </w:r>
          <w:r w:rsidRPr="0074767E">
            <w:rPr>
              <w:rFonts w:asciiTheme="minorHAnsi" w:hAnsiTheme="minorHAnsi"/>
              <w:b w:val="0"/>
            </w:rPr>
            <w:t xml:space="preserve"> 4/1</w:t>
          </w:r>
          <w:r w:rsidR="00D7518A">
            <w:rPr>
              <w:rFonts w:asciiTheme="minorHAnsi" w:hAnsiTheme="minorHAnsi"/>
              <w:b w:val="0"/>
            </w:rPr>
            <w:t>8</w:t>
          </w:r>
          <w:r w:rsidRPr="0074767E">
            <w:rPr>
              <w:rFonts w:asciiTheme="minorHAnsi" w:hAnsiTheme="minorHAnsi"/>
              <w:b w:val="0"/>
            </w:rPr>
            <w:t xml:space="preserve">/14 </w:t>
          </w:r>
          <w:r w:rsidRPr="0074767E">
            <w:rPr>
              <w:rFonts w:asciiTheme="minorHAnsi" w:hAnsiTheme="minorHAnsi"/>
            </w:rPr>
            <w:t>Classroom Use:</w:t>
          </w:r>
          <w:r w:rsidRPr="0074767E">
            <w:rPr>
              <w:rFonts w:asciiTheme="minorHAnsi" w:hAnsiTheme="minorHAnsi"/>
              <w:b w:val="0"/>
            </w:rPr>
            <w:t xml:space="preserve"> Starting 4/2014 </w:t>
          </w:r>
        </w:p>
        <w:p w:rsidR="00CB3CFE" w:rsidRPr="0074767E" w:rsidRDefault="00CB3CFE" w:rsidP="004F2969">
          <w:pPr>
            <w:pStyle w:val="FooterText"/>
            <w:rPr>
              <w:rFonts w:asciiTheme="minorHAnsi" w:hAnsiTheme="minorHAnsi"/>
              <w:b w:val="0"/>
              <w:i/>
              <w:sz w:val="12"/>
            </w:rPr>
          </w:pPr>
          <w:r w:rsidRPr="0074767E">
            <w:rPr>
              <w:rFonts w:asciiTheme="minorHAnsi" w:hAnsiTheme="minorHAnsi"/>
              <w:b w:val="0"/>
              <w:sz w:val="12"/>
            </w:rPr>
            <w:t>© 2014 Public Consulting Group.</w:t>
          </w:r>
          <w:r w:rsidRPr="0074767E">
            <w:rPr>
              <w:rFonts w:asciiTheme="minorHAnsi" w:hAnsiTheme="minorHAnsi"/>
              <w:b w:val="0"/>
              <w:i/>
              <w:sz w:val="12"/>
            </w:rPr>
            <w:t xml:space="preserve"> This work is licensed under a </w:t>
          </w:r>
        </w:p>
        <w:p w:rsidR="00CB3CFE" w:rsidRPr="0074767E" w:rsidRDefault="00CB3CFE" w:rsidP="004F2969">
          <w:pPr>
            <w:pStyle w:val="FooterText"/>
            <w:rPr>
              <w:rFonts w:asciiTheme="minorHAnsi" w:hAnsiTheme="minorHAnsi"/>
              <w:b w:val="0"/>
              <w:i/>
            </w:rPr>
          </w:pPr>
          <w:r w:rsidRPr="0074767E">
            <w:rPr>
              <w:rFonts w:asciiTheme="minorHAnsi" w:hAnsiTheme="minorHAnsi"/>
              <w:b w:val="0"/>
              <w:i/>
              <w:sz w:val="12"/>
            </w:rPr>
            <w:t>Creative Commons Attribution-NonCommercial-ShareAlike 3.0 Unported License</w:t>
          </w:r>
        </w:p>
        <w:p w:rsidR="00CB3CFE" w:rsidRPr="002E4C92" w:rsidRDefault="00296DB1" w:rsidP="004F2969">
          <w:pPr>
            <w:pStyle w:val="FooterText"/>
          </w:pPr>
          <w:hyperlink r:id="rId1" w:history="1">
            <w:r w:rsidR="00CB3CFE" w:rsidRPr="0074767E">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B3CFE" w:rsidRPr="002E4C92" w:rsidRDefault="00296DB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B3CFE"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73EE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B3CFE" w:rsidRPr="002E4C92" w:rsidRDefault="00CB3CF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B3CFE" w:rsidRPr="0039525B" w:rsidRDefault="00CB3CFE"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ED" w:rsidRDefault="00B710ED" w:rsidP="00E946A0">
      <w:r>
        <w:separator/>
      </w:r>
    </w:p>
    <w:p w:rsidR="00B710ED" w:rsidRDefault="00B710ED" w:rsidP="00E946A0"/>
  </w:footnote>
  <w:footnote w:type="continuationSeparator" w:id="0">
    <w:p w:rsidR="00B710ED" w:rsidRDefault="00B710ED" w:rsidP="00E946A0">
      <w:r>
        <w:continuationSeparator/>
      </w:r>
    </w:p>
    <w:p w:rsidR="00B710ED" w:rsidRDefault="00B710E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B3CFE" w:rsidRPr="00563CB8">
      <w:tc>
        <w:tcPr>
          <w:tcW w:w="3708" w:type="dxa"/>
          <w:shd w:val="clear" w:color="auto" w:fill="auto"/>
        </w:tcPr>
        <w:p w:rsidR="00CB3CFE" w:rsidRPr="00563CB8" w:rsidRDefault="00CB3CF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B3CFE" w:rsidRPr="00563CB8" w:rsidRDefault="00CB3CFE" w:rsidP="00E946A0">
          <w:pPr>
            <w:jc w:val="center"/>
          </w:pPr>
          <w:r w:rsidRPr="00563CB8">
            <w:t>D R A F T</w:t>
          </w:r>
        </w:p>
      </w:tc>
      <w:tc>
        <w:tcPr>
          <w:tcW w:w="3438" w:type="dxa"/>
          <w:shd w:val="clear" w:color="auto" w:fill="auto"/>
        </w:tcPr>
        <w:p w:rsidR="00CB3CFE" w:rsidRPr="00E946A0" w:rsidRDefault="00CB3CFE" w:rsidP="00E946A0">
          <w:pPr>
            <w:pStyle w:val="PageHeader"/>
            <w:jc w:val="right"/>
            <w:rPr>
              <w:b w:val="0"/>
            </w:rPr>
          </w:pPr>
          <w:r>
            <w:rPr>
              <w:b w:val="0"/>
            </w:rPr>
            <w:t>Grade 10 • Module 3</w:t>
          </w:r>
          <w:r w:rsidRPr="00E946A0">
            <w:rPr>
              <w:b w:val="0"/>
            </w:rPr>
            <w:t xml:space="preserve"> • Unit </w:t>
          </w:r>
          <w:r>
            <w:rPr>
              <w:b w:val="0"/>
            </w:rPr>
            <w:t>1 • Lesson 6</w:t>
          </w:r>
        </w:p>
      </w:tc>
    </w:tr>
  </w:tbl>
  <w:p w:rsidR="00CB3CFE" w:rsidRDefault="00CB3CFE"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C93488A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41B4E91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7762F"/>
    <w:multiLevelType w:val="hybridMultilevel"/>
    <w:tmpl w:val="82E86152"/>
    <w:lvl w:ilvl="0" w:tplc="DCA0782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CF5478"/>
    <w:multiLevelType w:val="hybridMultilevel"/>
    <w:tmpl w:val="671C3C5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921A8C4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8B4430A2"/>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5824ED8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5A389D9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3"/>
    <w:lvlOverride w:ilvl="0">
      <w:startOverride w:val="1"/>
    </w:lvlOverride>
  </w:num>
  <w:num w:numId="3">
    <w:abstractNumId w:val="4"/>
  </w:num>
  <w:num w:numId="4">
    <w:abstractNumId w:val="0"/>
  </w:num>
  <w:num w:numId="5">
    <w:abstractNumId w:val="6"/>
  </w:num>
  <w:num w:numId="6">
    <w:abstractNumId w:val="3"/>
    <w:lvlOverride w:ilvl="0">
      <w:startOverride w:val="1"/>
    </w:lvlOverride>
  </w:num>
  <w:num w:numId="7">
    <w:abstractNumId w:val="7"/>
  </w:num>
  <w:num w:numId="8">
    <w:abstractNumId w:val="1"/>
  </w:num>
  <w:num w:numId="9">
    <w:abstractNumId w:val="5"/>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TrueTypeFonts/>
  <w:embedSystemFonts/>
  <w:saveSubsetFonts/>
  <w:proofState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DDA"/>
    <w:rsid w:val="00007F67"/>
    <w:rsid w:val="00011E99"/>
    <w:rsid w:val="000131A2"/>
    <w:rsid w:val="000134DA"/>
    <w:rsid w:val="000137C5"/>
    <w:rsid w:val="00014D5D"/>
    <w:rsid w:val="00014FD7"/>
    <w:rsid w:val="00020527"/>
    <w:rsid w:val="00021589"/>
    <w:rsid w:val="0002335F"/>
    <w:rsid w:val="00031522"/>
    <w:rsid w:val="00031C95"/>
    <w:rsid w:val="00034778"/>
    <w:rsid w:val="000351C0"/>
    <w:rsid w:val="000418C1"/>
    <w:rsid w:val="00042452"/>
    <w:rsid w:val="00047D38"/>
    <w:rsid w:val="00053088"/>
    <w:rsid w:val="00062291"/>
    <w:rsid w:val="0006233C"/>
    <w:rsid w:val="00064850"/>
    <w:rsid w:val="00066123"/>
    <w:rsid w:val="000661F4"/>
    <w:rsid w:val="0006776C"/>
    <w:rsid w:val="00071936"/>
    <w:rsid w:val="00072749"/>
    <w:rsid w:val="00073FCA"/>
    <w:rsid w:val="000742AA"/>
    <w:rsid w:val="00075649"/>
    <w:rsid w:val="00077C86"/>
    <w:rsid w:val="00080A8A"/>
    <w:rsid w:val="00082531"/>
    <w:rsid w:val="000848B2"/>
    <w:rsid w:val="00086A06"/>
    <w:rsid w:val="00090200"/>
    <w:rsid w:val="000903E0"/>
    <w:rsid w:val="00092730"/>
    <w:rsid w:val="00092C82"/>
    <w:rsid w:val="000943A0"/>
    <w:rsid w:val="00095BBA"/>
    <w:rsid w:val="00096A06"/>
    <w:rsid w:val="000A1206"/>
    <w:rsid w:val="000A26A7"/>
    <w:rsid w:val="000A3640"/>
    <w:rsid w:val="000B1882"/>
    <w:rsid w:val="000B289F"/>
    <w:rsid w:val="000B2D56"/>
    <w:rsid w:val="000B3015"/>
    <w:rsid w:val="000B3836"/>
    <w:rsid w:val="000B3C20"/>
    <w:rsid w:val="000B6EA7"/>
    <w:rsid w:val="000C0112"/>
    <w:rsid w:val="000C169A"/>
    <w:rsid w:val="000C4439"/>
    <w:rsid w:val="000C4813"/>
    <w:rsid w:val="000C50A0"/>
    <w:rsid w:val="000C55BD"/>
    <w:rsid w:val="000C5656"/>
    <w:rsid w:val="000C5893"/>
    <w:rsid w:val="000D0F3D"/>
    <w:rsid w:val="000D0FAE"/>
    <w:rsid w:val="000D2EA8"/>
    <w:rsid w:val="000D43FB"/>
    <w:rsid w:val="000D4FF9"/>
    <w:rsid w:val="000E0B69"/>
    <w:rsid w:val="000E4DBA"/>
    <w:rsid w:val="000F192C"/>
    <w:rsid w:val="000F2414"/>
    <w:rsid w:val="000F7D35"/>
    <w:rsid w:val="000F7F56"/>
    <w:rsid w:val="001003AF"/>
    <w:rsid w:val="00102110"/>
    <w:rsid w:val="00102285"/>
    <w:rsid w:val="0010235F"/>
    <w:rsid w:val="00102865"/>
    <w:rsid w:val="00103100"/>
    <w:rsid w:val="001041F6"/>
    <w:rsid w:val="00110A04"/>
    <w:rsid w:val="00111A39"/>
    <w:rsid w:val="001129E7"/>
    <w:rsid w:val="00113501"/>
    <w:rsid w:val="001159C2"/>
    <w:rsid w:val="001215F2"/>
    <w:rsid w:val="00121C27"/>
    <w:rsid w:val="001258FD"/>
    <w:rsid w:val="00127FF5"/>
    <w:rsid w:val="00133528"/>
    <w:rsid w:val="001352AE"/>
    <w:rsid w:val="001362D4"/>
    <w:rsid w:val="00140413"/>
    <w:rsid w:val="001438BA"/>
    <w:rsid w:val="00146843"/>
    <w:rsid w:val="001509EC"/>
    <w:rsid w:val="0015118C"/>
    <w:rsid w:val="0015482D"/>
    <w:rsid w:val="00156124"/>
    <w:rsid w:val="001635FC"/>
    <w:rsid w:val="001657A6"/>
    <w:rsid w:val="00167364"/>
    <w:rsid w:val="001708C2"/>
    <w:rsid w:val="00170D4E"/>
    <w:rsid w:val="001723D5"/>
    <w:rsid w:val="001743E4"/>
    <w:rsid w:val="00175B00"/>
    <w:rsid w:val="00175BC1"/>
    <w:rsid w:val="00176388"/>
    <w:rsid w:val="00183942"/>
    <w:rsid w:val="0018630D"/>
    <w:rsid w:val="00186355"/>
    <w:rsid w:val="001864E6"/>
    <w:rsid w:val="00186FDA"/>
    <w:rsid w:val="0018762C"/>
    <w:rsid w:val="001919DE"/>
    <w:rsid w:val="001945FA"/>
    <w:rsid w:val="00194F1D"/>
    <w:rsid w:val="001A05C6"/>
    <w:rsid w:val="001A1298"/>
    <w:rsid w:val="001A3999"/>
    <w:rsid w:val="001A3B9C"/>
    <w:rsid w:val="001A5133"/>
    <w:rsid w:val="001B0794"/>
    <w:rsid w:val="001B1487"/>
    <w:rsid w:val="001B5244"/>
    <w:rsid w:val="001B63EB"/>
    <w:rsid w:val="001B6CD0"/>
    <w:rsid w:val="001C1C99"/>
    <w:rsid w:val="001C35E3"/>
    <w:rsid w:val="001C4010"/>
    <w:rsid w:val="001C5188"/>
    <w:rsid w:val="001C6B70"/>
    <w:rsid w:val="001D047B"/>
    <w:rsid w:val="001D0518"/>
    <w:rsid w:val="001D641A"/>
    <w:rsid w:val="001D6E9C"/>
    <w:rsid w:val="001E189E"/>
    <w:rsid w:val="001E36C6"/>
    <w:rsid w:val="001E4233"/>
    <w:rsid w:val="001E554C"/>
    <w:rsid w:val="001F0991"/>
    <w:rsid w:val="001F6C4F"/>
    <w:rsid w:val="001F6F50"/>
    <w:rsid w:val="002009F7"/>
    <w:rsid w:val="0020138A"/>
    <w:rsid w:val="002028FF"/>
    <w:rsid w:val="002041CD"/>
    <w:rsid w:val="00207C8B"/>
    <w:rsid w:val="00210A2E"/>
    <w:rsid w:val="00213DE2"/>
    <w:rsid w:val="00224590"/>
    <w:rsid w:val="002306FF"/>
    <w:rsid w:val="00231919"/>
    <w:rsid w:val="0024013E"/>
    <w:rsid w:val="00240FF7"/>
    <w:rsid w:val="00241764"/>
    <w:rsid w:val="002434DF"/>
    <w:rsid w:val="0024557C"/>
    <w:rsid w:val="00245B86"/>
    <w:rsid w:val="00251632"/>
    <w:rsid w:val="002516D4"/>
    <w:rsid w:val="00251A7C"/>
    <w:rsid w:val="00251DAB"/>
    <w:rsid w:val="00252D78"/>
    <w:rsid w:val="00257E01"/>
    <w:rsid w:val="002619B1"/>
    <w:rsid w:val="002635F4"/>
    <w:rsid w:val="00263AF5"/>
    <w:rsid w:val="00265D30"/>
    <w:rsid w:val="002661A8"/>
    <w:rsid w:val="00270798"/>
    <w:rsid w:val="00273973"/>
    <w:rsid w:val="002748DB"/>
    <w:rsid w:val="00274FEB"/>
    <w:rsid w:val="0027539D"/>
    <w:rsid w:val="00276DB9"/>
    <w:rsid w:val="002817B0"/>
    <w:rsid w:val="0028184C"/>
    <w:rsid w:val="00284B9E"/>
    <w:rsid w:val="00284FC0"/>
    <w:rsid w:val="00286EDE"/>
    <w:rsid w:val="00290F88"/>
    <w:rsid w:val="0029527C"/>
    <w:rsid w:val="00296DB1"/>
    <w:rsid w:val="00297DC5"/>
    <w:rsid w:val="002A21DE"/>
    <w:rsid w:val="002A3925"/>
    <w:rsid w:val="002A5337"/>
    <w:rsid w:val="002B2136"/>
    <w:rsid w:val="002B62D6"/>
    <w:rsid w:val="002C0245"/>
    <w:rsid w:val="002C02FB"/>
    <w:rsid w:val="002C5F0D"/>
    <w:rsid w:val="002C7FD7"/>
    <w:rsid w:val="002D05B5"/>
    <w:rsid w:val="002D1BFE"/>
    <w:rsid w:val="002D1C7A"/>
    <w:rsid w:val="002D1F1D"/>
    <w:rsid w:val="002D5EB9"/>
    <w:rsid w:val="002D632F"/>
    <w:rsid w:val="002D6928"/>
    <w:rsid w:val="002D7B20"/>
    <w:rsid w:val="002E0B17"/>
    <w:rsid w:val="002E1360"/>
    <w:rsid w:val="002E27AE"/>
    <w:rsid w:val="002E3DA7"/>
    <w:rsid w:val="002E4C92"/>
    <w:rsid w:val="002F03D2"/>
    <w:rsid w:val="002F23EF"/>
    <w:rsid w:val="002F3D65"/>
    <w:rsid w:val="003058AD"/>
    <w:rsid w:val="003067BF"/>
    <w:rsid w:val="00307516"/>
    <w:rsid w:val="00311E81"/>
    <w:rsid w:val="00317306"/>
    <w:rsid w:val="003201AC"/>
    <w:rsid w:val="003204E8"/>
    <w:rsid w:val="0032239A"/>
    <w:rsid w:val="00323CB7"/>
    <w:rsid w:val="00335168"/>
    <w:rsid w:val="003368BF"/>
    <w:rsid w:val="0033697D"/>
    <w:rsid w:val="0034279D"/>
    <w:rsid w:val="003440A9"/>
    <w:rsid w:val="00347761"/>
    <w:rsid w:val="00347DD9"/>
    <w:rsid w:val="00347F4B"/>
    <w:rsid w:val="00350B03"/>
    <w:rsid w:val="00351804"/>
    <w:rsid w:val="00351F18"/>
    <w:rsid w:val="00352361"/>
    <w:rsid w:val="00353081"/>
    <w:rsid w:val="00355B9E"/>
    <w:rsid w:val="00356656"/>
    <w:rsid w:val="00362010"/>
    <w:rsid w:val="00364CD8"/>
    <w:rsid w:val="00366918"/>
    <w:rsid w:val="00370C53"/>
    <w:rsid w:val="00372441"/>
    <w:rsid w:val="0037258B"/>
    <w:rsid w:val="00373EE9"/>
    <w:rsid w:val="003740D3"/>
    <w:rsid w:val="00374C35"/>
    <w:rsid w:val="00376DBB"/>
    <w:rsid w:val="003822E1"/>
    <w:rsid w:val="003826B0"/>
    <w:rsid w:val="00382A16"/>
    <w:rsid w:val="0038382F"/>
    <w:rsid w:val="003839F6"/>
    <w:rsid w:val="00383A2A"/>
    <w:rsid w:val="003851B2"/>
    <w:rsid w:val="003854D3"/>
    <w:rsid w:val="00385EBA"/>
    <w:rsid w:val="0038635E"/>
    <w:rsid w:val="00386A07"/>
    <w:rsid w:val="003908D2"/>
    <w:rsid w:val="003924D0"/>
    <w:rsid w:val="00393A0E"/>
    <w:rsid w:val="0039525B"/>
    <w:rsid w:val="00396ADC"/>
    <w:rsid w:val="003A1A68"/>
    <w:rsid w:val="003A35F4"/>
    <w:rsid w:val="003A3AB0"/>
    <w:rsid w:val="003A6689"/>
    <w:rsid w:val="003A6785"/>
    <w:rsid w:val="003B0703"/>
    <w:rsid w:val="003B3DB9"/>
    <w:rsid w:val="003B7708"/>
    <w:rsid w:val="003C2022"/>
    <w:rsid w:val="003C24AD"/>
    <w:rsid w:val="003D2489"/>
    <w:rsid w:val="003D2601"/>
    <w:rsid w:val="003D27E3"/>
    <w:rsid w:val="003D28E6"/>
    <w:rsid w:val="003D7469"/>
    <w:rsid w:val="003E2C04"/>
    <w:rsid w:val="003E3757"/>
    <w:rsid w:val="003E693A"/>
    <w:rsid w:val="003F1B86"/>
    <w:rsid w:val="003F2833"/>
    <w:rsid w:val="003F3D65"/>
    <w:rsid w:val="003F4A12"/>
    <w:rsid w:val="00405198"/>
    <w:rsid w:val="00406F7D"/>
    <w:rsid w:val="00410D18"/>
    <w:rsid w:val="00412A7D"/>
    <w:rsid w:val="004179FD"/>
    <w:rsid w:val="00421157"/>
    <w:rsid w:val="00421434"/>
    <w:rsid w:val="00422875"/>
    <w:rsid w:val="00422C86"/>
    <w:rsid w:val="0042474E"/>
    <w:rsid w:val="00425E32"/>
    <w:rsid w:val="00432D7F"/>
    <w:rsid w:val="004340C4"/>
    <w:rsid w:val="00436909"/>
    <w:rsid w:val="00436C75"/>
    <w:rsid w:val="00437FD0"/>
    <w:rsid w:val="004402AC"/>
    <w:rsid w:val="004403EE"/>
    <w:rsid w:val="00440948"/>
    <w:rsid w:val="00442171"/>
    <w:rsid w:val="004452D5"/>
    <w:rsid w:val="00446AFD"/>
    <w:rsid w:val="004528AF"/>
    <w:rsid w:val="004536D7"/>
    <w:rsid w:val="00455FC4"/>
    <w:rsid w:val="00456F88"/>
    <w:rsid w:val="0045725F"/>
    <w:rsid w:val="00457F98"/>
    <w:rsid w:val="00470E93"/>
    <w:rsid w:val="004713C2"/>
    <w:rsid w:val="004726E2"/>
    <w:rsid w:val="00472F34"/>
    <w:rsid w:val="0047469B"/>
    <w:rsid w:val="00475D43"/>
    <w:rsid w:val="004760BF"/>
    <w:rsid w:val="0047698B"/>
    <w:rsid w:val="00477B3D"/>
    <w:rsid w:val="00482C15"/>
    <w:rsid w:val="004838D9"/>
    <w:rsid w:val="00484822"/>
    <w:rsid w:val="004855C5"/>
    <w:rsid w:val="00485D55"/>
    <w:rsid w:val="0049409E"/>
    <w:rsid w:val="004A15BC"/>
    <w:rsid w:val="004A3F30"/>
    <w:rsid w:val="004B22B8"/>
    <w:rsid w:val="004B3E41"/>
    <w:rsid w:val="004B552B"/>
    <w:rsid w:val="004B7C07"/>
    <w:rsid w:val="004C2D3B"/>
    <w:rsid w:val="004C602D"/>
    <w:rsid w:val="004C6CD8"/>
    <w:rsid w:val="004D0D4D"/>
    <w:rsid w:val="004D195D"/>
    <w:rsid w:val="004D37FC"/>
    <w:rsid w:val="004D41D2"/>
    <w:rsid w:val="004D487C"/>
    <w:rsid w:val="004D5473"/>
    <w:rsid w:val="004D7029"/>
    <w:rsid w:val="004E1B0E"/>
    <w:rsid w:val="004F2363"/>
    <w:rsid w:val="004F2969"/>
    <w:rsid w:val="004F353F"/>
    <w:rsid w:val="004F62CF"/>
    <w:rsid w:val="00502FAD"/>
    <w:rsid w:val="00507DF5"/>
    <w:rsid w:val="005121D2"/>
    <w:rsid w:val="00513C73"/>
    <w:rsid w:val="00513E84"/>
    <w:rsid w:val="00515BE9"/>
    <w:rsid w:val="00516FA7"/>
    <w:rsid w:val="00517918"/>
    <w:rsid w:val="0052385B"/>
    <w:rsid w:val="0052413A"/>
    <w:rsid w:val="00526C2F"/>
    <w:rsid w:val="0052748A"/>
    <w:rsid w:val="0052769A"/>
    <w:rsid w:val="00527DE8"/>
    <w:rsid w:val="005324A5"/>
    <w:rsid w:val="0053548D"/>
    <w:rsid w:val="00541A6A"/>
    <w:rsid w:val="00542523"/>
    <w:rsid w:val="00544C94"/>
    <w:rsid w:val="00546D71"/>
    <w:rsid w:val="0054791C"/>
    <w:rsid w:val="0055340D"/>
    <w:rsid w:val="0055385D"/>
    <w:rsid w:val="00561640"/>
    <w:rsid w:val="00563CB8"/>
    <w:rsid w:val="00563DC9"/>
    <w:rsid w:val="005641F5"/>
    <w:rsid w:val="00565871"/>
    <w:rsid w:val="0056623F"/>
    <w:rsid w:val="00567E85"/>
    <w:rsid w:val="00570901"/>
    <w:rsid w:val="005762AD"/>
    <w:rsid w:val="00576C1B"/>
    <w:rsid w:val="00576E4A"/>
    <w:rsid w:val="00577330"/>
    <w:rsid w:val="00581401"/>
    <w:rsid w:val="005837C5"/>
    <w:rsid w:val="00583FF7"/>
    <w:rsid w:val="00585771"/>
    <w:rsid w:val="00585A0D"/>
    <w:rsid w:val="005875D8"/>
    <w:rsid w:val="0058778F"/>
    <w:rsid w:val="00592C84"/>
    <w:rsid w:val="00592D68"/>
    <w:rsid w:val="00593697"/>
    <w:rsid w:val="00595390"/>
    <w:rsid w:val="00595905"/>
    <w:rsid w:val="005960E3"/>
    <w:rsid w:val="005A4336"/>
    <w:rsid w:val="005A7968"/>
    <w:rsid w:val="005B22B2"/>
    <w:rsid w:val="005B3D78"/>
    <w:rsid w:val="005B7E6E"/>
    <w:rsid w:val="005C284B"/>
    <w:rsid w:val="005C4572"/>
    <w:rsid w:val="005C7B5F"/>
    <w:rsid w:val="005D7C72"/>
    <w:rsid w:val="005E2E87"/>
    <w:rsid w:val="005E6DE2"/>
    <w:rsid w:val="005F147C"/>
    <w:rsid w:val="005F256F"/>
    <w:rsid w:val="005F5D35"/>
    <w:rsid w:val="005F657A"/>
    <w:rsid w:val="00603970"/>
    <w:rsid w:val="006044CD"/>
    <w:rsid w:val="00607856"/>
    <w:rsid w:val="006124D5"/>
    <w:rsid w:val="00612EF6"/>
    <w:rsid w:val="0062277B"/>
    <w:rsid w:val="006261E1"/>
    <w:rsid w:val="00626E4A"/>
    <w:rsid w:val="00630CA7"/>
    <w:rsid w:val="0063653C"/>
    <w:rsid w:val="00637291"/>
    <w:rsid w:val="006375AF"/>
    <w:rsid w:val="00641DC5"/>
    <w:rsid w:val="00643550"/>
    <w:rsid w:val="00644540"/>
    <w:rsid w:val="00645C3F"/>
    <w:rsid w:val="00646088"/>
    <w:rsid w:val="00651092"/>
    <w:rsid w:val="006523BC"/>
    <w:rsid w:val="00653ABB"/>
    <w:rsid w:val="00654DF7"/>
    <w:rsid w:val="00656B93"/>
    <w:rsid w:val="0066211A"/>
    <w:rsid w:val="00663A00"/>
    <w:rsid w:val="006661AE"/>
    <w:rsid w:val="006667A3"/>
    <w:rsid w:val="00675D00"/>
    <w:rsid w:val="0068018C"/>
    <w:rsid w:val="006847D1"/>
    <w:rsid w:val="00692453"/>
    <w:rsid w:val="0069247E"/>
    <w:rsid w:val="00696173"/>
    <w:rsid w:val="006A09D6"/>
    <w:rsid w:val="006A3594"/>
    <w:rsid w:val="006A737E"/>
    <w:rsid w:val="006B0965"/>
    <w:rsid w:val="006B11C6"/>
    <w:rsid w:val="006B61DD"/>
    <w:rsid w:val="006B7CCB"/>
    <w:rsid w:val="006C0871"/>
    <w:rsid w:val="006C78E8"/>
    <w:rsid w:val="006D1A61"/>
    <w:rsid w:val="006D5208"/>
    <w:rsid w:val="006E4C84"/>
    <w:rsid w:val="006E7A67"/>
    <w:rsid w:val="006E7D3C"/>
    <w:rsid w:val="006F3BD7"/>
    <w:rsid w:val="006F7C83"/>
    <w:rsid w:val="00706F7A"/>
    <w:rsid w:val="00707670"/>
    <w:rsid w:val="00710019"/>
    <w:rsid w:val="0071568E"/>
    <w:rsid w:val="007205EE"/>
    <w:rsid w:val="0072240A"/>
    <w:rsid w:val="00723BBA"/>
    <w:rsid w:val="0072440D"/>
    <w:rsid w:val="00724760"/>
    <w:rsid w:val="00730123"/>
    <w:rsid w:val="00730312"/>
    <w:rsid w:val="0073192F"/>
    <w:rsid w:val="00732D9E"/>
    <w:rsid w:val="00733C74"/>
    <w:rsid w:val="00735C1C"/>
    <w:rsid w:val="00736730"/>
    <w:rsid w:val="00737EE7"/>
    <w:rsid w:val="00741955"/>
    <w:rsid w:val="0074767E"/>
    <w:rsid w:val="007623AE"/>
    <w:rsid w:val="0076269D"/>
    <w:rsid w:val="007653C8"/>
    <w:rsid w:val="00765412"/>
    <w:rsid w:val="00765454"/>
    <w:rsid w:val="00766336"/>
    <w:rsid w:val="0076658E"/>
    <w:rsid w:val="00767641"/>
    <w:rsid w:val="00772135"/>
    <w:rsid w:val="00772FCA"/>
    <w:rsid w:val="0077398D"/>
    <w:rsid w:val="00785ADC"/>
    <w:rsid w:val="00796D57"/>
    <w:rsid w:val="00797281"/>
    <w:rsid w:val="007A6823"/>
    <w:rsid w:val="007A6A3E"/>
    <w:rsid w:val="007A706D"/>
    <w:rsid w:val="007B0EDD"/>
    <w:rsid w:val="007B46D8"/>
    <w:rsid w:val="007B70E0"/>
    <w:rsid w:val="007B764B"/>
    <w:rsid w:val="007C14C1"/>
    <w:rsid w:val="007C5A7B"/>
    <w:rsid w:val="007C7DB0"/>
    <w:rsid w:val="007D1715"/>
    <w:rsid w:val="007D2F12"/>
    <w:rsid w:val="007E048E"/>
    <w:rsid w:val="007E38BF"/>
    <w:rsid w:val="007E3D2F"/>
    <w:rsid w:val="007E463A"/>
    <w:rsid w:val="007E4E86"/>
    <w:rsid w:val="007E5A93"/>
    <w:rsid w:val="007E7665"/>
    <w:rsid w:val="007F2C18"/>
    <w:rsid w:val="007F37B5"/>
    <w:rsid w:val="007F3998"/>
    <w:rsid w:val="007F76FC"/>
    <w:rsid w:val="008000F9"/>
    <w:rsid w:val="00800653"/>
    <w:rsid w:val="00804C62"/>
    <w:rsid w:val="008055FD"/>
    <w:rsid w:val="00807B6F"/>
    <w:rsid w:val="00807C6B"/>
    <w:rsid w:val="008139A0"/>
    <w:rsid w:val="008151E5"/>
    <w:rsid w:val="00820EF9"/>
    <w:rsid w:val="0082210F"/>
    <w:rsid w:val="008228CD"/>
    <w:rsid w:val="00825E31"/>
    <w:rsid w:val="008261D2"/>
    <w:rsid w:val="00831B4C"/>
    <w:rsid w:val="008336BE"/>
    <w:rsid w:val="00835495"/>
    <w:rsid w:val="00836287"/>
    <w:rsid w:val="00841D18"/>
    <w:rsid w:val="008434A6"/>
    <w:rsid w:val="0084358E"/>
    <w:rsid w:val="0084364A"/>
    <w:rsid w:val="008451D2"/>
    <w:rsid w:val="00847A03"/>
    <w:rsid w:val="00850CE6"/>
    <w:rsid w:val="00853CF3"/>
    <w:rsid w:val="008572B2"/>
    <w:rsid w:val="00857D15"/>
    <w:rsid w:val="00860A88"/>
    <w:rsid w:val="00862E93"/>
    <w:rsid w:val="00864A80"/>
    <w:rsid w:val="00864CF8"/>
    <w:rsid w:val="00872393"/>
    <w:rsid w:val="008732CC"/>
    <w:rsid w:val="00874AF4"/>
    <w:rsid w:val="00875D0A"/>
    <w:rsid w:val="00876632"/>
    <w:rsid w:val="00880AAD"/>
    <w:rsid w:val="00883761"/>
    <w:rsid w:val="00884AB6"/>
    <w:rsid w:val="008907FE"/>
    <w:rsid w:val="008922AB"/>
    <w:rsid w:val="00893930"/>
    <w:rsid w:val="00893A85"/>
    <w:rsid w:val="00896200"/>
    <w:rsid w:val="0089768A"/>
    <w:rsid w:val="00897E18"/>
    <w:rsid w:val="008A0F55"/>
    <w:rsid w:val="008A1774"/>
    <w:rsid w:val="008A2DA8"/>
    <w:rsid w:val="008A5010"/>
    <w:rsid w:val="008A7263"/>
    <w:rsid w:val="008B007E"/>
    <w:rsid w:val="008B1311"/>
    <w:rsid w:val="008B31CC"/>
    <w:rsid w:val="008B456C"/>
    <w:rsid w:val="008B5DE1"/>
    <w:rsid w:val="008B63BF"/>
    <w:rsid w:val="008C0392"/>
    <w:rsid w:val="008C1826"/>
    <w:rsid w:val="008C46C4"/>
    <w:rsid w:val="008C6F22"/>
    <w:rsid w:val="008C7679"/>
    <w:rsid w:val="008D0396"/>
    <w:rsid w:val="008D3566"/>
    <w:rsid w:val="008D3BC0"/>
    <w:rsid w:val="008D4D86"/>
    <w:rsid w:val="008D5D6B"/>
    <w:rsid w:val="008E2674"/>
    <w:rsid w:val="008E3ACB"/>
    <w:rsid w:val="008E4E8F"/>
    <w:rsid w:val="009000C9"/>
    <w:rsid w:val="00903656"/>
    <w:rsid w:val="009062ED"/>
    <w:rsid w:val="0090775D"/>
    <w:rsid w:val="00910D8E"/>
    <w:rsid w:val="00912722"/>
    <w:rsid w:val="009135A8"/>
    <w:rsid w:val="00916B0C"/>
    <w:rsid w:val="0091722D"/>
    <w:rsid w:val="00922E34"/>
    <w:rsid w:val="00923718"/>
    <w:rsid w:val="00923727"/>
    <w:rsid w:val="00926324"/>
    <w:rsid w:val="00933100"/>
    <w:rsid w:val="009403AD"/>
    <w:rsid w:val="0094277B"/>
    <w:rsid w:val="00943ADF"/>
    <w:rsid w:val="00955DB7"/>
    <w:rsid w:val="009607D5"/>
    <w:rsid w:val="0096199D"/>
    <w:rsid w:val="00962802"/>
    <w:rsid w:val="00963CDE"/>
    <w:rsid w:val="00966480"/>
    <w:rsid w:val="00966D72"/>
    <w:rsid w:val="00967678"/>
    <w:rsid w:val="0097223B"/>
    <w:rsid w:val="009732BA"/>
    <w:rsid w:val="00977D00"/>
    <w:rsid w:val="0098148A"/>
    <w:rsid w:val="009859E7"/>
    <w:rsid w:val="00995ABB"/>
    <w:rsid w:val="00997C73"/>
    <w:rsid w:val="009A0390"/>
    <w:rsid w:val="009A0E84"/>
    <w:rsid w:val="009A173F"/>
    <w:rsid w:val="009A2A02"/>
    <w:rsid w:val="009A2D2D"/>
    <w:rsid w:val="009A3159"/>
    <w:rsid w:val="009A678E"/>
    <w:rsid w:val="009B0F30"/>
    <w:rsid w:val="009B12D0"/>
    <w:rsid w:val="009B14FE"/>
    <w:rsid w:val="009B21D7"/>
    <w:rsid w:val="009B4FE2"/>
    <w:rsid w:val="009B7417"/>
    <w:rsid w:val="009B7C85"/>
    <w:rsid w:val="009C0391"/>
    <w:rsid w:val="009C194A"/>
    <w:rsid w:val="009C2014"/>
    <w:rsid w:val="009C3C09"/>
    <w:rsid w:val="009D0B7A"/>
    <w:rsid w:val="009D12CD"/>
    <w:rsid w:val="009D2572"/>
    <w:rsid w:val="009E05C6"/>
    <w:rsid w:val="009E07D2"/>
    <w:rsid w:val="009E2F8E"/>
    <w:rsid w:val="009E734D"/>
    <w:rsid w:val="009F26F0"/>
    <w:rsid w:val="009F2758"/>
    <w:rsid w:val="009F31D9"/>
    <w:rsid w:val="009F3652"/>
    <w:rsid w:val="009F5212"/>
    <w:rsid w:val="009F77E5"/>
    <w:rsid w:val="00A0163A"/>
    <w:rsid w:val="00A07A4E"/>
    <w:rsid w:val="00A14F0A"/>
    <w:rsid w:val="00A23592"/>
    <w:rsid w:val="00A24DAB"/>
    <w:rsid w:val="00A253EA"/>
    <w:rsid w:val="00A32E00"/>
    <w:rsid w:val="00A443A7"/>
    <w:rsid w:val="00A4462B"/>
    <w:rsid w:val="00A46305"/>
    <w:rsid w:val="00A4688B"/>
    <w:rsid w:val="00A514FF"/>
    <w:rsid w:val="00A65FF8"/>
    <w:rsid w:val="00A75116"/>
    <w:rsid w:val="00A77308"/>
    <w:rsid w:val="00A85272"/>
    <w:rsid w:val="00A908AC"/>
    <w:rsid w:val="00A948B3"/>
    <w:rsid w:val="00A95E92"/>
    <w:rsid w:val="00A968CA"/>
    <w:rsid w:val="00AA0831"/>
    <w:rsid w:val="00AA1DC0"/>
    <w:rsid w:val="00AA5F43"/>
    <w:rsid w:val="00AB4207"/>
    <w:rsid w:val="00AB6CD5"/>
    <w:rsid w:val="00AB7D16"/>
    <w:rsid w:val="00AC1DE5"/>
    <w:rsid w:val="00AC1F67"/>
    <w:rsid w:val="00AC2AB4"/>
    <w:rsid w:val="00AC6562"/>
    <w:rsid w:val="00AC65CC"/>
    <w:rsid w:val="00AD1A8C"/>
    <w:rsid w:val="00AD26BF"/>
    <w:rsid w:val="00AD2E2E"/>
    <w:rsid w:val="00AD440D"/>
    <w:rsid w:val="00AD6837"/>
    <w:rsid w:val="00AE01CA"/>
    <w:rsid w:val="00AE14E2"/>
    <w:rsid w:val="00AE3076"/>
    <w:rsid w:val="00AE7100"/>
    <w:rsid w:val="00AF1F26"/>
    <w:rsid w:val="00AF3526"/>
    <w:rsid w:val="00AF59AE"/>
    <w:rsid w:val="00AF5A63"/>
    <w:rsid w:val="00AF6272"/>
    <w:rsid w:val="00AF743B"/>
    <w:rsid w:val="00B00346"/>
    <w:rsid w:val="00B01708"/>
    <w:rsid w:val="00B01F00"/>
    <w:rsid w:val="00B044E7"/>
    <w:rsid w:val="00B10BF2"/>
    <w:rsid w:val="00B11983"/>
    <w:rsid w:val="00B12F9A"/>
    <w:rsid w:val="00B1409A"/>
    <w:rsid w:val="00B14316"/>
    <w:rsid w:val="00B16E6B"/>
    <w:rsid w:val="00B205E1"/>
    <w:rsid w:val="00B20B90"/>
    <w:rsid w:val="00B20DD1"/>
    <w:rsid w:val="00B231AA"/>
    <w:rsid w:val="00B23AD5"/>
    <w:rsid w:val="00B27639"/>
    <w:rsid w:val="00B27CC0"/>
    <w:rsid w:val="00B30BF5"/>
    <w:rsid w:val="00B31BA2"/>
    <w:rsid w:val="00B34ED2"/>
    <w:rsid w:val="00B3524A"/>
    <w:rsid w:val="00B455BA"/>
    <w:rsid w:val="00B45E27"/>
    <w:rsid w:val="00B46824"/>
    <w:rsid w:val="00B46C45"/>
    <w:rsid w:val="00B5282C"/>
    <w:rsid w:val="00B5645D"/>
    <w:rsid w:val="00B57328"/>
    <w:rsid w:val="00B57A9F"/>
    <w:rsid w:val="00B6092B"/>
    <w:rsid w:val="00B66DB7"/>
    <w:rsid w:val="00B710ED"/>
    <w:rsid w:val="00B71188"/>
    <w:rsid w:val="00B7194E"/>
    <w:rsid w:val="00B75489"/>
    <w:rsid w:val="00B76D5E"/>
    <w:rsid w:val="00B80621"/>
    <w:rsid w:val="00B84BD7"/>
    <w:rsid w:val="00B86333"/>
    <w:rsid w:val="00B9051D"/>
    <w:rsid w:val="00BA15C4"/>
    <w:rsid w:val="00BA2A04"/>
    <w:rsid w:val="00BA4548"/>
    <w:rsid w:val="00BA4581"/>
    <w:rsid w:val="00BA46CB"/>
    <w:rsid w:val="00BA536E"/>
    <w:rsid w:val="00BA6CB2"/>
    <w:rsid w:val="00BA6E05"/>
    <w:rsid w:val="00BA6FA9"/>
    <w:rsid w:val="00BA7D7C"/>
    <w:rsid w:val="00BA7F1C"/>
    <w:rsid w:val="00BB27BA"/>
    <w:rsid w:val="00BB3487"/>
    <w:rsid w:val="00BB459A"/>
    <w:rsid w:val="00BB4709"/>
    <w:rsid w:val="00BC1873"/>
    <w:rsid w:val="00BC2CDE"/>
    <w:rsid w:val="00BC3880"/>
    <w:rsid w:val="00BC3D4E"/>
    <w:rsid w:val="00BC436D"/>
    <w:rsid w:val="00BC4ADE"/>
    <w:rsid w:val="00BC54A9"/>
    <w:rsid w:val="00BC55AA"/>
    <w:rsid w:val="00BD0EC0"/>
    <w:rsid w:val="00BD28C9"/>
    <w:rsid w:val="00BD7AD4"/>
    <w:rsid w:val="00BD7B6F"/>
    <w:rsid w:val="00BE4EBD"/>
    <w:rsid w:val="00BE6EFE"/>
    <w:rsid w:val="00BF6DF5"/>
    <w:rsid w:val="00BF7380"/>
    <w:rsid w:val="00C006B5"/>
    <w:rsid w:val="00C01D82"/>
    <w:rsid w:val="00C02E75"/>
    <w:rsid w:val="00C02EC2"/>
    <w:rsid w:val="00C02F0B"/>
    <w:rsid w:val="00C06D85"/>
    <w:rsid w:val="00C07724"/>
    <w:rsid w:val="00C07D88"/>
    <w:rsid w:val="00C119AE"/>
    <w:rsid w:val="00C151B9"/>
    <w:rsid w:val="00C17AF0"/>
    <w:rsid w:val="00C208EA"/>
    <w:rsid w:val="00C214DE"/>
    <w:rsid w:val="00C2283A"/>
    <w:rsid w:val="00C231B1"/>
    <w:rsid w:val="00C252EF"/>
    <w:rsid w:val="00C25C43"/>
    <w:rsid w:val="00C26F37"/>
    <w:rsid w:val="00C27058"/>
    <w:rsid w:val="00C27E34"/>
    <w:rsid w:val="00C34B83"/>
    <w:rsid w:val="00C419B4"/>
    <w:rsid w:val="00C424C5"/>
    <w:rsid w:val="00C42C58"/>
    <w:rsid w:val="00C441BE"/>
    <w:rsid w:val="00C441D0"/>
    <w:rsid w:val="00C4787C"/>
    <w:rsid w:val="00C47BBA"/>
    <w:rsid w:val="00C5015B"/>
    <w:rsid w:val="00C512D6"/>
    <w:rsid w:val="00C52FD6"/>
    <w:rsid w:val="00C7162F"/>
    <w:rsid w:val="00C745E1"/>
    <w:rsid w:val="00C74F40"/>
    <w:rsid w:val="00C920BB"/>
    <w:rsid w:val="00C9359E"/>
    <w:rsid w:val="00C94AC5"/>
    <w:rsid w:val="00C9623A"/>
    <w:rsid w:val="00CA53F8"/>
    <w:rsid w:val="00CA6CC7"/>
    <w:rsid w:val="00CA7056"/>
    <w:rsid w:val="00CA70B2"/>
    <w:rsid w:val="00CB3CFE"/>
    <w:rsid w:val="00CB4795"/>
    <w:rsid w:val="00CB6E60"/>
    <w:rsid w:val="00CC1BF8"/>
    <w:rsid w:val="00CC2982"/>
    <w:rsid w:val="00CC3C40"/>
    <w:rsid w:val="00CC605E"/>
    <w:rsid w:val="00CC6E60"/>
    <w:rsid w:val="00CD1A34"/>
    <w:rsid w:val="00CD3A81"/>
    <w:rsid w:val="00CD4793"/>
    <w:rsid w:val="00CD58E7"/>
    <w:rsid w:val="00CD5B1A"/>
    <w:rsid w:val="00CD61D0"/>
    <w:rsid w:val="00CD7839"/>
    <w:rsid w:val="00CE0D9A"/>
    <w:rsid w:val="00CE2836"/>
    <w:rsid w:val="00CE5BEA"/>
    <w:rsid w:val="00CE6C54"/>
    <w:rsid w:val="00CF08C2"/>
    <w:rsid w:val="00CF149A"/>
    <w:rsid w:val="00CF2582"/>
    <w:rsid w:val="00CF2986"/>
    <w:rsid w:val="00CF498D"/>
    <w:rsid w:val="00D00ADF"/>
    <w:rsid w:val="00D031FA"/>
    <w:rsid w:val="00D066C5"/>
    <w:rsid w:val="00D10491"/>
    <w:rsid w:val="00D12467"/>
    <w:rsid w:val="00D14DBB"/>
    <w:rsid w:val="00D22B12"/>
    <w:rsid w:val="00D2326D"/>
    <w:rsid w:val="00D257AC"/>
    <w:rsid w:val="00D3179C"/>
    <w:rsid w:val="00D31C4D"/>
    <w:rsid w:val="00D3492E"/>
    <w:rsid w:val="00D36C11"/>
    <w:rsid w:val="00D374A9"/>
    <w:rsid w:val="00D41B54"/>
    <w:rsid w:val="00D4259D"/>
    <w:rsid w:val="00D44710"/>
    <w:rsid w:val="00D45DDF"/>
    <w:rsid w:val="00D4700C"/>
    <w:rsid w:val="00D479EE"/>
    <w:rsid w:val="00D5056F"/>
    <w:rsid w:val="00D52801"/>
    <w:rsid w:val="00D5676B"/>
    <w:rsid w:val="00D57066"/>
    <w:rsid w:val="00D6136A"/>
    <w:rsid w:val="00D7518A"/>
    <w:rsid w:val="00D8305F"/>
    <w:rsid w:val="00D84782"/>
    <w:rsid w:val="00D90F04"/>
    <w:rsid w:val="00D920A6"/>
    <w:rsid w:val="00D92E0C"/>
    <w:rsid w:val="00D9328F"/>
    <w:rsid w:val="00D94FAB"/>
    <w:rsid w:val="00D95A65"/>
    <w:rsid w:val="00D968D9"/>
    <w:rsid w:val="00D97A4D"/>
    <w:rsid w:val="00DA030E"/>
    <w:rsid w:val="00DA0322"/>
    <w:rsid w:val="00DA4857"/>
    <w:rsid w:val="00DA5971"/>
    <w:rsid w:val="00DB34C3"/>
    <w:rsid w:val="00DB3C98"/>
    <w:rsid w:val="00DB77D7"/>
    <w:rsid w:val="00DC0419"/>
    <w:rsid w:val="00DC0591"/>
    <w:rsid w:val="00DC2E94"/>
    <w:rsid w:val="00DC52E6"/>
    <w:rsid w:val="00DC7604"/>
    <w:rsid w:val="00DD1E2B"/>
    <w:rsid w:val="00DD207B"/>
    <w:rsid w:val="00DD6609"/>
    <w:rsid w:val="00DD6BA0"/>
    <w:rsid w:val="00DE44CC"/>
    <w:rsid w:val="00DF3D1C"/>
    <w:rsid w:val="00DF5111"/>
    <w:rsid w:val="00DF5DD7"/>
    <w:rsid w:val="00E0286B"/>
    <w:rsid w:val="00E06C2D"/>
    <w:rsid w:val="00E07DBA"/>
    <w:rsid w:val="00E16070"/>
    <w:rsid w:val="00E173B3"/>
    <w:rsid w:val="00E223DA"/>
    <w:rsid w:val="00E22A24"/>
    <w:rsid w:val="00E26A26"/>
    <w:rsid w:val="00E272E4"/>
    <w:rsid w:val="00E31D9D"/>
    <w:rsid w:val="00E3245A"/>
    <w:rsid w:val="00E36349"/>
    <w:rsid w:val="00E43A98"/>
    <w:rsid w:val="00E446CB"/>
    <w:rsid w:val="00E45753"/>
    <w:rsid w:val="00E46711"/>
    <w:rsid w:val="00E53E91"/>
    <w:rsid w:val="00E560AD"/>
    <w:rsid w:val="00E56C25"/>
    <w:rsid w:val="00E6036C"/>
    <w:rsid w:val="00E60525"/>
    <w:rsid w:val="00E618D5"/>
    <w:rsid w:val="00E63363"/>
    <w:rsid w:val="00E6588C"/>
    <w:rsid w:val="00E65C14"/>
    <w:rsid w:val="00E67BBB"/>
    <w:rsid w:val="00E7559A"/>
    <w:rsid w:val="00E7754E"/>
    <w:rsid w:val="00E82B87"/>
    <w:rsid w:val="00E8717A"/>
    <w:rsid w:val="00E876EF"/>
    <w:rsid w:val="00E878E2"/>
    <w:rsid w:val="00E87E1A"/>
    <w:rsid w:val="00E9190E"/>
    <w:rsid w:val="00E93803"/>
    <w:rsid w:val="00E9382D"/>
    <w:rsid w:val="00E946A0"/>
    <w:rsid w:val="00E95641"/>
    <w:rsid w:val="00EA0015"/>
    <w:rsid w:val="00EA0C17"/>
    <w:rsid w:val="00EA3693"/>
    <w:rsid w:val="00EA44C5"/>
    <w:rsid w:val="00EA74B5"/>
    <w:rsid w:val="00EB1170"/>
    <w:rsid w:val="00EB30D1"/>
    <w:rsid w:val="00EB4655"/>
    <w:rsid w:val="00EB4AAC"/>
    <w:rsid w:val="00EB6D24"/>
    <w:rsid w:val="00EB782B"/>
    <w:rsid w:val="00EC15E4"/>
    <w:rsid w:val="00EC1E30"/>
    <w:rsid w:val="00EC238E"/>
    <w:rsid w:val="00EC3DED"/>
    <w:rsid w:val="00EC3F22"/>
    <w:rsid w:val="00EC4622"/>
    <w:rsid w:val="00EC56ED"/>
    <w:rsid w:val="00ED0044"/>
    <w:rsid w:val="00ED34EC"/>
    <w:rsid w:val="00ED491F"/>
    <w:rsid w:val="00ED7472"/>
    <w:rsid w:val="00ED7E8E"/>
    <w:rsid w:val="00EE360E"/>
    <w:rsid w:val="00EE5F60"/>
    <w:rsid w:val="00EE66B9"/>
    <w:rsid w:val="00EE6BE3"/>
    <w:rsid w:val="00EF12C5"/>
    <w:rsid w:val="00EF3860"/>
    <w:rsid w:val="00EF58AA"/>
    <w:rsid w:val="00EF7094"/>
    <w:rsid w:val="00EF78E4"/>
    <w:rsid w:val="00F02E41"/>
    <w:rsid w:val="00F06EFA"/>
    <w:rsid w:val="00F07B41"/>
    <w:rsid w:val="00F10E78"/>
    <w:rsid w:val="00F10E87"/>
    <w:rsid w:val="00F12958"/>
    <w:rsid w:val="00F143C7"/>
    <w:rsid w:val="00F1582B"/>
    <w:rsid w:val="00F21CD9"/>
    <w:rsid w:val="00F2312D"/>
    <w:rsid w:val="00F301E5"/>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1CEA"/>
    <w:rsid w:val="00F64807"/>
    <w:rsid w:val="00F6568B"/>
    <w:rsid w:val="00F74986"/>
    <w:rsid w:val="00F814D5"/>
    <w:rsid w:val="00F86733"/>
    <w:rsid w:val="00F87643"/>
    <w:rsid w:val="00F91E9C"/>
    <w:rsid w:val="00F92CB6"/>
    <w:rsid w:val="00F942C8"/>
    <w:rsid w:val="00F947DB"/>
    <w:rsid w:val="00F952E3"/>
    <w:rsid w:val="00FA0A05"/>
    <w:rsid w:val="00FA2F40"/>
    <w:rsid w:val="00FA3204"/>
    <w:rsid w:val="00FA3976"/>
    <w:rsid w:val="00FA56DC"/>
    <w:rsid w:val="00FA6796"/>
    <w:rsid w:val="00FB2878"/>
    <w:rsid w:val="00FB4AE6"/>
    <w:rsid w:val="00FB75ED"/>
    <w:rsid w:val="00FC349F"/>
    <w:rsid w:val="00FC714C"/>
    <w:rsid w:val="00FD275D"/>
    <w:rsid w:val="00FD6661"/>
    <w:rsid w:val="00FD6A91"/>
    <w:rsid w:val="00FD7393"/>
    <w:rsid w:val="00FE0435"/>
    <w:rsid w:val="00FE06D2"/>
    <w:rsid w:val="00FE12D4"/>
    <w:rsid w:val="00FE28A3"/>
    <w:rsid w:val="00FE2A44"/>
    <w:rsid w:val="00FE662D"/>
    <w:rsid w:val="00FF02DE"/>
    <w:rsid w:val="00FF1FA1"/>
    <w:rsid w:val="00FF4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74767E"/>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74767E"/>
    <w:rPr>
      <w:rFonts w:asciiTheme="minorHAnsi" w:eastAsia="Times New Roman" w:hAnsiTheme="minorHAnsi" w:cs="Times New Roman"/>
      <w:b/>
      <w:bCs/>
      <w:i w:val="0"/>
      <w:color w:val="4F81BD"/>
      <w:sz w:val="28"/>
      <w:szCs w:val="26"/>
    </w:rPr>
  </w:style>
  <w:style w:type="paragraph" w:customStyle="1" w:styleId="TA">
    <w:name w:val="*TA*"/>
    <w:link w:val="TAChar"/>
    <w:qFormat/>
    <w:rsid w:val="0074767E"/>
    <w:pPr>
      <w:spacing w:before="180" w:after="180"/>
    </w:pPr>
    <w:rPr>
      <w:sz w:val="22"/>
      <w:szCs w:val="22"/>
    </w:rPr>
  </w:style>
  <w:style w:type="character" w:customStyle="1" w:styleId="TAChar">
    <w:name w:val="*TA* Char"/>
    <w:basedOn w:val="DefaultParagraphFont"/>
    <w:link w:val="TA"/>
    <w:rsid w:val="0074767E"/>
    <w:rPr>
      <w:sz w:val="22"/>
      <w:szCs w:val="22"/>
    </w:rPr>
  </w:style>
  <w:style w:type="paragraph" w:customStyle="1" w:styleId="IN">
    <w:name w:val="*IN*"/>
    <w:link w:val="INChar"/>
    <w:qFormat/>
    <w:rsid w:val="0074767E"/>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4767E"/>
    <w:pPr>
      <w:numPr>
        <w:numId w:val="3"/>
      </w:numPr>
      <w:spacing w:before="60" w:after="60" w:line="276" w:lineRule="auto"/>
      <w:ind w:left="360"/>
    </w:pPr>
    <w:rPr>
      <w:sz w:val="22"/>
      <w:szCs w:val="22"/>
    </w:rPr>
  </w:style>
  <w:style w:type="character" w:customStyle="1" w:styleId="INChar">
    <w:name w:val="*IN* Char"/>
    <w:basedOn w:val="DefaultParagraphFont"/>
    <w:link w:val="IN"/>
    <w:rsid w:val="0074767E"/>
    <w:rPr>
      <w:color w:val="4F81BD" w:themeColor="accent1"/>
      <w:sz w:val="22"/>
      <w:szCs w:val="22"/>
    </w:rPr>
  </w:style>
  <w:style w:type="paragraph" w:customStyle="1" w:styleId="NumberedList">
    <w:name w:val="*Numbered List"/>
    <w:link w:val="NumberedListChar"/>
    <w:qFormat/>
    <w:rsid w:val="0074767E"/>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4767E"/>
    <w:rPr>
      <w:sz w:val="22"/>
      <w:szCs w:val="22"/>
    </w:rPr>
  </w:style>
  <w:style w:type="paragraph" w:customStyle="1" w:styleId="TableHeaders">
    <w:name w:val="*TableHeaders"/>
    <w:basedOn w:val="Normal"/>
    <w:link w:val="TableHeadersChar"/>
    <w:qFormat/>
    <w:rsid w:val="0074767E"/>
    <w:pPr>
      <w:spacing w:before="40" w:after="40" w:line="240" w:lineRule="auto"/>
    </w:pPr>
    <w:rPr>
      <w:b/>
      <w:color w:val="FFFFFF" w:themeColor="background1"/>
    </w:rPr>
  </w:style>
  <w:style w:type="character" w:customStyle="1" w:styleId="NumberedListChar">
    <w:name w:val="*Numbered List Char"/>
    <w:basedOn w:val="BulletedListChar"/>
    <w:link w:val="NumberedList"/>
    <w:rsid w:val="0074767E"/>
    <w:rPr>
      <w:sz w:val="22"/>
      <w:szCs w:val="22"/>
    </w:rPr>
  </w:style>
  <w:style w:type="paragraph" w:customStyle="1" w:styleId="PageHeader">
    <w:name w:val="*PageHeader"/>
    <w:link w:val="PageHeaderChar"/>
    <w:qFormat/>
    <w:rsid w:val="0074767E"/>
    <w:pPr>
      <w:spacing w:before="120"/>
    </w:pPr>
    <w:rPr>
      <w:rFonts w:cs="Calibri"/>
      <w:b/>
      <w:sz w:val="18"/>
      <w:szCs w:val="22"/>
    </w:rPr>
  </w:style>
  <w:style w:type="character" w:customStyle="1" w:styleId="TableHeadersChar">
    <w:name w:val="*TableHeaders Char"/>
    <w:basedOn w:val="DefaultParagraphFont"/>
    <w:link w:val="TableHeaders"/>
    <w:rsid w:val="0074767E"/>
    <w:rPr>
      <w:b/>
      <w:color w:val="FFFFFF" w:themeColor="background1"/>
      <w:sz w:val="22"/>
      <w:szCs w:val="22"/>
    </w:rPr>
  </w:style>
  <w:style w:type="paragraph" w:customStyle="1" w:styleId="Q">
    <w:name w:val="*Q*"/>
    <w:link w:val="QChar"/>
    <w:qFormat/>
    <w:rsid w:val="0074767E"/>
    <w:pPr>
      <w:spacing w:before="240" w:line="276" w:lineRule="auto"/>
    </w:pPr>
    <w:rPr>
      <w:rFonts w:eastAsia="Times New Roman"/>
      <w:b/>
      <w:sz w:val="22"/>
      <w:szCs w:val="22"/>
    </w:rPr>
  </w:style>
  <w:style w:type="character" w:customStyle="1" w:styleId="PageHeaderChar">
    <w:name w:val="*PageHeader Char"/>
    <w:basedOn w:val="BodyTextChar"/>
    <w:link w:val="PageHeader"/>
    <w:rsid w:val="0074767E"/>
    <w:rPr>
      <w:rFonts w:cs="Calibri"/>
      <w:b/>
      <w:sz w:val="18"/>
      <w:szCs w:val="22"/>
    </w:rPr>
  </w:style>
  <w:style w:type="character" w:customStyle="1" w:styleId="QChar">
    <w:name w:val="*Q* Char"/>
    <w:basedOn w:val="ListParagraphChar"/>
    <w:link w:val="Q"/>
    <w:rsid w:val="0074767E"/>
    <w:rPr>
      <w:rFonts w:eastAsia="Times New Roman"/>
      <w:b/>
      <w:sz w:val="22"/>
      <w:szCs w:val="22"/>
    </w:rPr>
  </w:style>
  <w:style w:type="paragraph" w:customStyle="1" w:styleId="SASRBullet">
    <w:name w:val="*SA/SR Bullet"/>
    <w:basedOn w:val="Normal"/>
    <w:link w:val="SASRBulletChar"/>
    <w:qFormat/>
    <w:rsid w:val="0074767E"/>
    <w:pPr>
      <w:numPr>
        <w:ilvl w:val="1"/>
        <w:numId w:val="8"/>
      </w:numPr>
      <w:spacing w:before="120"/>
      <w:ind w:left="1080"/>
      <w:contextualSpacing/>
    </w:pPr>
  </w:style>
  <w:style w:type="paragraph" w:customStyle="1" w:styleId="INBullet">
    <w:name w:val="*IN* Bullet"/>
    <w:link w:val="INBulletChar"/>
    <w:qFormat/>
    <w:rsid w:val="0074767E"/>
    <w:pPr>
      <w:numPr>
        <w:numId w:val="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74767E"/>
    <w:rPr>
      <w:sz w:val="22"/>
      <w:szCs w:val="22"/>
    </w:rPr>
  </w:style>
  <w:style w:type="character" w:customStyle="1" w:styleId="INBulletChar">
    <w:name w:val="*IN* Bullet Char"/>
    <w:basedOn w:val="BulletedListChar"/>
    <w:link w:val="INBullet"/>
    <w:rsid w:val="0074767E"/>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74767E"/>
    <w:pPr>
      <w:numPr>
        <w:numId w:val="7"/>
      </w:numPr>
      <w:spacing w:before="120" w:line="276" w:lineRule="auto"/>
    </w:pPr>
    <w:rPr>
      <w:rFonts w:eastAsia="Times New Roman"/>
      <w:sz w:val="22"/>
      <w:szCs w:val="22"/>
    </w:rPr>
  </w:style>
  <w:style w:type="paragraph" w:customStyle="1" w:styleId="SR">
    <w:name w:val="*SR*"/>
    <w:link w:val="SRChar"/>
    <w:qFormat/>
    <w:rsid w:val="0074767E"/>
    <w:pPr>
      <w:numPr>
        <w:numId w:val="9"/>
      </w:numPr>
      <w:spacing w:before="120" w:line="276" w:lineRule="auto"/>
      <w:ind w:left="720"/>
    </w:pPr>
    <w:rPr>
      <w:rFonts w:eastAsia="Times New Roman"/>
      <w:sz w:val="22"/>
      <w:szCs w:val="22"/>
    </w:rPr>
  </w:style>
  <w:style w:type="character" w:customStyle="1" w:styleId="SAChar">
    <w:name w:val="*SA* Char"/>
    <w:basedOn w:val="ListParagraphChar"/>
    <w:link w:val="SA"/>
    <w:rsid w:val="0074767E"/>
    <w:rPr>
      <w:rFonts w:eastAsia="Times New Roman"/>
      <w:sz w:val="22"/>
      <w:szCs w:val="22"/>
    </w:rPr>
  </w:style>
  <w:style w:type="character" w:customStyle="1" w:styleId="SRChar">
    <w:name w:val="*SR* Char"/>
    <w:basedOn w:val="ListParagraphChar"/>
    <w:link w:val="SR"/>
    <w:rsid w:val="0074767E"/>
    <w:rPr>
      <w:rFonts w:eastAsia="Times New Roman"/>
      <w:sz w:val="22"/>
      <w:szCs w:val="22"/>
    </w:rPr>
  </w:style>
  <w:style w:type="paragraph" w:customStyle="1" w:styleId="BR">
    <w:name w:val="*BR*"/>
    <w:link w:val="BRChar"/>
    <w:qFormat/>
    <w:rsid w:val="0074767E"/>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74767E"/>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74767E"/>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74767E"/>
    <w:rPr>
      <w:rFonts w:ascii="Verdana" w:eastAsia="Verdana" w:hAnsi="Verdana" w:cs="Calibri"/>
      <w:b/>
      <w:color w:val="595959"/>
      <w:sz w:val="14"/>
      <w:szCs w:val="22"/>
    </w:rPr>
  </w:style>
  <w:style w:type="paragraph" w:customStyle="1" w:styleId="TableText">
    <w:name w:val="*TableText"/>
    <w:link w:val="TableTextChar"/>
    <w:qFormat/>
    <w:rsid w:val="0074767E"/>
    <w:pPr>
      <w:spacing w:before="40" w:after="40" w:line="276" w:lineRule="auto"/>
    </w:pPr>
    <w:rPr>
      <w:sz w:val="22"/>
      <w:szCs w:val="22"/>
    </w:rPr>
  </w:style>
  <w:style w:type="character" w:customStyle="1" w:styleId="TableTextChar">
    <w:name w:val="*TableText Char"/>
    <w:basedOn w:val="DefaultParagraphFont"/>
    <w:link w:val="TableText"/>
    <w:rsid w:val="0074767E"/>
    <w:rPr>
      <w:sz w:val="22"/>
      <w:szCs w:val="22"/>
    </w:rPr>
  </w:style>
  <w:style w:type="paragraph" w:customStyle="1" w:styleId="ToolHeader">
    <w:name w:val="*ToolHeader"/>
    <w:qFormat/>
    <w:rsid w:val="0074767E"/>
    <w:pPr>
      <w:spacing w:after="120"/>
    </w:pPr>
    <w:rPr>
      <w:rFonts w:asciiTheme="minorHAnsi" w:hAnsiTheme="minorHAnsi"/>
      <w:b/>
      <w:bCs/>
      <w:color w:val="365F91"/>
      <w:sz w:val="32"/>
      <w:szCs w:val="28"/>
    </w:rPr>
  </w:style>
  <w:style w:type="paragraph" w:customStyle="1" w:styleId="ToolTableText">
    <w:name w:val="*ToolTableText"/>
    <w:qFormat/>
    <w:rsid w:val="0074767E"/>
    <w:pPr>
      <w:spacing w:before="40" w:after="120"/>
    </w:pPr>
    <w:rPr>
      <w:sz w:val="22"/>
      <w:szCs w:val="22"/>
    </w:rPr>
  </w:style>
  <w:style w:type="paragraph" w:customStyle="1" w:styleId="ExcerptTitle">
    <w:name w:val="*ExcerptTitle"/>
    <w:basedOn w:val="Normal"/>
    <w:link w:val="ExcerptTitleChar"/>
    <w:qFormat/>
    <w:rsid w:val="0074767E"/>
    <w:pPr>
      <w:jc w:val="center"/>
    </w:pPr>
    <w:rPr>
      <w:rFonts w:asciiTheme="majorHAnsi" w:hAnsiTheme="majorHAnsi"/>
      <w:b/>
      <w:smallCaps/>
      <w:sz w:val="32"/>
    </w:rPr>
  </w:style>
  <w:style w:type="paragraph" w:customStyle="1" w:styleId="ExcerptAuthor">
    <w:name w:val="*ExcerptAuthor"/>
    <w:basedOn w:val="Normal"/>
    <w:link w:val="ExcerptAuthorChar"/>
    <w:qFormat/>
    <w:rsid w:val="0074767E"/>
    <w:pPr>
      <w:jc w:val="center"/>
    </w:pPr>
    <w:rPr>
      <w:rFonts w:asciiTheme="majorHAnsi" w:hAnsiTheme="majorHAnsi"/>
      <w:b/>
    </w:rPr>
  </w:style>
  <w:style w:type="character" w:customStyle="1" w:styleId="ExcerptTitleChar">
    <w:name w:val="*ExcerptTitle Char"/>
    <w:basedOn w:val="DefaultParagraphFont"/>
    <w:link w:val="ExcerptTitle"/>
    <w:rsid w:val="0074767E"/>
    <w:rPr>
      <w:rFonts w:asciiTheme="majorHAnsi" w:hAnsiTheme="majorHAnsi"/>
      <w:b/>
      <w:smallCaps/>
      <w:sz w:val="32"/>
      <w:szCs w:val="22"/>
    </w:rPr>
  </w:style>
  <w:style w:type="paragraph" w:customStyle="1" w:styleId="ExcerptBody">
    <w:name w:val="*ExcerptBody"/>
    <w:basedOn w:val="Normal"/>
    <w:link w:val="ExcerptBodyChar"/>
    <w:qFormat/>
    <w:rsid w:val="0074767E"/>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74767E"/>
    <w:rPr>
      <w:rFonts w:asciiTheme="majorHAnsi" w:hAnsiTheme="majorHAnsi"/>
      <w:b/>
      <w:sz w:val="22"/>
      <w:szCs w:val="22"/>
    </w:rPr>
  </w:style>
  <w:style w:type="character" w:customStyle="1" w:styleId="ExcerptBodyChar">
    <w:name w:val="*ExcerptBody Char"/>
    <w:basedOn w:val="DefaultParagraphFont"/>
    <w:link w:val="ExcerptBody"/>
    <w:rsid w:val="0074767E"/>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74767E"/>
    <w:pPr>
      <w:numPr>
        <w:numId w:val="10"/>
      </w:numPr>
    </w:pPr>
  </w:style>
  <w:style w:type="character" w:customStyle="1" w:styleId="SubStandardChar">
    <w:name w:val="*SubStandard Char"/>
    <w:basedOn w:val="TableTextChar"/>
    <w:link w:val="SubStandard"/>
    <w:rsid w:val="0074767E"/>
    <w:rPr>
      <w:sz w:val="22"/>
      <w:szCs w:val="22"/>
    </w:rPr>
  </w:style>
  <w:style w:type="paragraph" w:customStyle="1" w:styleId="Default">
    <w:name w:val="Default"/>
    <w:rsid w:val="004760BF"/>
    <w:pPr>
      <w:widowControl w:val="0"/>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270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37775">
      <w:bodyDiv w:val="1"/>
      <w:marLeft w:val="0"/>
      <w:marRight w:val="0"/>
      <w:marTop w:val="0"/>
      <w:marBottom w:val="0"/>
      <w:divBdr>
        <w:top w:val="none" w:sz="0" w:space="0" w:color="auto"/>
        <w:left w:val="none" w:sz="0" w:space="0" w:color="auto"/>
        <w:bottom w:val="none" w:sz="0" w:space="0" w:color="auto"/>
        <w:right w:val="none" w:sz="0" w:space="0" w:color="auto"/>
      </w:divBdr>
    </w:div>
    <w:div w:id="42303718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56677629">
      <w:bodyDiv w:val="1"/>
      <w:marLeft w:val="0"/>
      <w:marRight w:val="0"/>
      <w:marTop w:val="0"/>
      <w:marBottom w:val="0"/>
      <w:divBdr>
        <w:top w:val="none" w:sz="0" w:space="0" w:color="auto"/>
        <w:left w:val="none" w:sz="0" w:space="0" w:color="auto"/>
        <w:bottom w:val="none" w:sz="0" w:space="0" w:color="auto"/>
        <w:right w:val="none" w:sz="0" w:space="0" w:color="auto"/>
      </w:divBdr>
    </w:div>
    <w:div w:id="59809778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3886359">
      <w:bodyDiv w:val="1"/>
      <w:marLeft w:val="0"/>
      <w:marRight w:val="0"/>
      <w:marTop w:val="0"/>
      <w:marBottom w:val="0"/>
      <w:divBdr>
        <w:top w:val="none" w:sz="0" w:space="0" w:color="auto"/>
        <w:left w:val="none" w:sz="0" w:space="0" w:color="auto"/>
        <w:bottom w:val="none" w:sz="0" w:space="0" w:color="auto"/>
        <w:right w:val="none" w:sz="0" w:space="0" w:color="auto"/>
      </w:divBdr>
    </w:div>
    <w:div w:id="876165980">
      <w:bodyDiv w:val="1"/>
      <w:marLeft w:val="0"/>
      <w:marRight w:val="0"/>
      <w:marTop w:val="0"/>
      <w:marBottom w:val="0"/>
      <w:divBdr>
        <w:top w:val="none" w:sz="0" w:space="0" w:color="auto"/>
        <w:left w:val="none" w:sz="0" w:space="0" w:color="auto"/>
        <w:bottom w:val="none" w:sz="0" w:space="0" w:color="auto"/>
        <w:right w:val="none" w:sz="0" w:space="0" w:color="auto"/>
      </w:divBdr>
    </w:div>
    <w:div w:id="1241333438">
      <w:bodyDiv w:val="1"/>
      <w:marLeft w:val="0"/>
      <w:marRight w:val="0"/>
      <w:marTop w:val="0"/>
      <w:marBottom w:val="0"/>
      <w:divBdr>
        <w:top w:val="none" w:sz="0" w:space="0" w:color="auto"/>
        <w:left w:val="none" w:sz="0" w:space="0" w:color="auto"/>
        <w:bottom w:val="none" w:sz="0" w:space="0" w:color="auto"/>
        <w:right w:val="none" w:sz="0" w:space="0" w:color="auto"/>
      </w:divBdr>
    </w:div>
    <w:div w:id="1265110330">
      <w:bodyDiv w:val="1"/>
      <w:marLeft w:val="0"/>
      <w:marRight w:val="0"/>
      <w:marTop w:val="0"/>
      <w:marBottom w:val="0"/>
      <w:divBdr>
        <w:top w:val="none" w:sz="0" w:space="0" w:color="auto"/>
        <w:left w:val="none" w:sz="0" w:space="0" w:color="auto"/>
        <w:bottom w:val="none" w:sz="0" w:space="0" w:color="auto"/>
        <w:right w:val="none" w:sz="0" w:space="0" w:color="auto"/>
      </w:divBdr>
    </w:div>
    <w:div w:id="1273630610">
      <w:bodyDiv w:val="1"/>
      <w:marLeft w:val="0"/>
      <w:marRight w:val="0"/>
      <w:marTop w:val="0"/>
      <w:marBottom w:val="0"/>
      <w:divBdr>
        <w:top w:val="none" w:sz="0" w:space="0" w:color="auto"/>
        <w:left w:val="none" w:sz="0" w:space="0" w:color="auto"/>
        <w:bottom w:val="none" w:sz="0" w:space="0" w:color="auto"/>
        <w:right w:val="none" w:sz="0" w:space="0" w:color="auto"/>
      </w:divBdr>
    </w:div>
    <w:div w:id="1338997382">
      <w:bodyDiv w:val="1"/>
      <w:marLeft w:val="0"/>
      <w:marRight w:val="0"/>
      <w:marTop w:val="0"/>
      <w:marBottom w:val="0"/>
      <w:divBdr>
        <w:top w:val="none" w:sz="0" w:space="0" w:color="auto"/>
        <w:left w:val="none" w:sz="0" w:space="0" w:color="auto"/>
        <w:bottom w:val="none" w:sz="0" w:space="0" w:color="auto"/>
        <w:right w:val="none" w:sz="0" w:space="0" w:color="auto"/>
      </w:divBdr>
    </w:div>
    <w:div w:id="1452750244">
      <w:bodyDiv w:val="1"/>
      <w:marLeft w:val="0"/>
      <w:marRight w:val="0"/>
      <w:marTop w:val="0"/>
      <w:marBottom w:val="0"/>
      <w:divBdr>
        <w:top w:val="none" w:sz="0" w:space="0" w:color="auto"/>
        <w:left w:val="none" w:sz="0" w:space="0" w:color="auto"/>
        <w:bottom w:val="none" w:sz="0" w:space="0" w:color="auto"/>
        <w:right w:val="none" w:sz="0" w:space="0" w:color="auto"/>
      </w:divBdr>
    </w:div>
    <w:div w:id="1567447502">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633975359">
      <w:bodyDiv w:val="1"/>
      <w:marLeft w:val="0"/>
      <w:marRight w:val="0"/>
      <w:marTop w:val="0"/>
      <w:marBottom w:val="0"/>
      <w:divBdr>
        <w:top w:val="none" w:sz="0" w:space="0" w:color="auto"/>
        <w:left w:val="none" w:sz="0" w:space="0" w:color="auto"/>
        <w:bottom w:val="none" w:sz="0" w:space="0" w:color="auto"/>
        <w:right w:val="none" w:sz="0" w:space="0" w:color="auto"/>
      </w:divBdr>
    </w:div>
    <w:div w:id="1647706830">
      <w:bodyDiv w:val="1"/>
      <w:marLeft w:val="0"/>
      <w:marRight w:val="0"/>
      <w:marTop w:val="0"/>
      <w:marBottom w:val="0"/>
      <w:divBdr>
        <w:top w:val="none" w:sz="0" w:space="0" w:color="auto"/>
        <w:left w:val="none" w:sz="0" w:space="0" w:color="auto"/>
        <w:bottom w:val="none" w:sz="0" w:space="0" w:color="auto"/>
        <w:right w:val="none" w:sz="0" w:space="0" w:color="auto"/>
      </w:divBdr>
    </w:div>
    <w:div w:id="1668509885">
      <w:bodyDiv w:val="1"/>
      <w:marLeft w:val="0"/>
      <w:marRight w:val="0"/>
      <w:marTop w:val="0"/>
      <w:marBottom w:val="0"/>
      <w:divBdr>
        <w:top w:val="none" w:sz="0" w:space="0" w:color="auto"/>
        <w:left w:val="none" w:sz="0" w:space="0" w:color="auto"/>
        <w:bottom w:val="none" w:sz="0" w:space="0" w:color="auto"/>
        <w:right w:val="none" w:sz="0" w:space="0" w:color="auto"/>
      </w:divBdr>
    </w:div>
    <w:div w:id="1784684647">
      <w:bodyDiv w:val="1"/>
      <w:marLeft w:val="0"/>
      <w:marRight w:val="0"/>
      <w:marTop w:val="0"/>
      <w:marBottom w:val="0"/>
      <w:divBdr>
        <w:top w:val="none" w:sz="0" w:space="0" w:color="auto"/>
        <w:left w:val="none" w:sz="0" w:space="0" w:color="auto"/>
        <w:bottom w:val="none" w:sz="0" w:space="0" w:color="auto"/>
        <w:right w:val="none" w:sz="0" w:space="0" w:color="auto"/>
      </w:divBdr>
    </w:div>
    <w:div w:id="184281908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682598">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82211788">
      <w:bodyDiv w:val="1"/>
      <w:marLeft w:val="0"/>
      <w:marRight w:val="0"/>
      <w:marTop w:val="0"/>
      <w:marBottom w:val="0"/>
      <w:divBdr>
        <w:top w:val="none" w:sz="0" w:space="0" w:color="auto"/>
        <w:left w:val="none" w:sz="0" w:space="0" w:color="auto"/>
        <w:bottom w:val="none" w:sz="0" w:space="0" w:color="auto"/>
        <w:right w:val="none" w:sz="0" w:space="0" w:color="auto"/>
      </w:divBdr>
    </w:div>
    <w:div w:id="213517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E20E-1801-4E0D-A108-3A90C112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21062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2014-04-03T22:15:00Z</cp:lastPrinted>
  <dcterms:created xsi:type="dcterms:W3CDTF">2014-04-17T16:14:00Z</dcterms:created>
  <dcterms:modified xsi:type="dcterms:W3CDTF">2014-04-17T16:14:00Z</dcterms:modified>
</cp:coreProperties>
</file>