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123603" w:rsidP="00B231AA">
            <w:pPr>
              <w:pStyle w:val="Header-banner"/>
              <w:rPr>
                <w:rFonts w:asciiTheme="minorHAnsi" w:hAnsiTheme="minorHAnsi"/>
              </w:rPr>
            </w:pPr>
            <w:r>
              <w:rPr>
                <w:rFonts w:asciiTheme="minorHAnsi" w:hAnsiTheme="minorHAnsi"/>
              </w:rPr>
              <w:t>10.2</w:t>
            </w:r>
            <w:r w:rsidR="00F814D5" w:rsidRPr="00DB34C3">
              <w:rPr>
                <w:rFonts w:asciiTheme="minorHAnsi" w:hAnsiTheme="minorHAnsi"/>
              </w:rPr>
              <w:t>.</w:t>
            </w:r>
            <w:r>
              <w:rPr>
                <w:rFonts w:asciiTheme="minorHAnsi" w:hAnsiTheme="minorHAnsi"/>
              </w:rPr>
              <w:t>3</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123603">
              <w:rPr>
                <w:rFonts w:asciiTheme="minorHAnsi" w:hAnsiTheme="minorHAnsi"/>
              </w:rPr>
              <w:t>5</w:t>
            </w:r>
          </w:p>
        </w:tc>
      </w:tr>
    </w:tbl>
    <w:p w:rsidR="005C4572" w:rsidRDefault="00C4787C" w:rsidP="00E946A0">
      <w:pPr>
        <w:pStyle w:val="Heading1"/>
      </w:pPr>
      <w:r w:rsidRPr="00263AF5">
        <w:t>Introduction</w:t>
      </w:r>
    </w:p>
    <w:p w:rsidR="005C4572" w:rsidRPr="005C4572" w:rsidRDefault="006F0CA5" w:rsidP="00610DB8">
      <w:r>
        <w:t>In this lesson</w:t>
      </w:r>
      <w:r w:rsidR="00DE081A">
        <w:t>,</w:t>
      </w:r>
      <w:r>
        <w:t xml:space="preserve"> students </w:t>
      </w:r>
      <w:r w:rsidR="000A64DB">
        <w:t xml:space="preserve">listen to </w:t>
      </w:r>
      <w:proofErr w:type="spellStart"/>
      <w:r>
        <w:t>Malala</w:t>
      </w:r>
      <w:proofErr w:type="spellEnd"/>
      <w:r>
        <w:t xml:space="preserve"> </w:t>
      </w:r>
      <w:proofErr w:type="spellStart"/>
      <w:r>
        <w:t>Yousafzai’s</w:t>
      </w:r>
      <w:proofErr w:type="spellEnd"/>
      <w:r>
        <w:t xml:space="preserve"> “Address to the United Nations Youth Assembly.” </w:t>
      </w:r>
      <w:r w:rsidR="001536F2">
        <w:t>After</w:t>
      </w:r>
      <w:r>
        <w:t xml:space="preserve"> listening to the sixteen-year-old </w:t>
      </w:r>
      <w:r w:rsidR="001536F2">
        <w:t>Pakistani</w:t>
      </w:r>
      <w:r>
        <w:t xml:space="preserve"> girl deliver her speech, students read </w:t>
      </w:r>
      <w:r w:rsidR="00C75C20">
        <w:t>paragraphs 1–</w:t>
      </w:r>
      <w:r w:rsidR="00864FD5">
        <w:t>6</w:t>
      </w:r>
      <w:r w:rsidR="00650B66">
        <w:t xml:space="preserve"> of the transcript</w:t>
      </w:r>
      <w:r w:rsidR="008D6F27">
        <w:t xml:space="preserve"> </w:t>
      </w:r>
      <w:r w:rsidR="00650B66">
        <w:t>(</w:t>
      </w:r>
      <w:r w:rsidR="00C90535">
        <w:t>from “In the name of God, the Most Beneficent</w:t>
      </w:r>
      <w:r w:rsidR="0069201F">
        <w:t>”</w:t>
      </w:r>
      <w:r w:rsidR="00C90535">
        <w:t xml:space="preserve"> to “</w:t>
      </w:r>
      <w:r w:rsidR="00864FD5">
        <w:t>My dreams are the same</w:t>
      </w:r>
      <w:r w:rsidR="008D6F27">
        <w:t>”</w:t>
      </w:r>
      <w:r w:rsidR="00650B66">
        <w:t>).</w:t>
      </w:r>
      <w:r>
        <w:t xml:space="preserve"> In small groups, students analyze how </w:t>
      </w:r>
      <w:proofErr w:type="spellStart"/>
      <w:r>
        <w:t>Yousafzai</w:t>
      </w:r>
      <w:proofErr w:type="spellEnd"/>
      <w:r>
        <w:t xml:space="preserve"> uses rhetoric to advance her purpose. </w:t>
      </w:r>
      <w:r w:rsidR="00D04066">
        <w:t>Students participate in</w:t>
      </w:r>
      <w:r>
        <w:t xml:space="preserve"> a </w:t>
      </w:r>
      <w:r w:rsidR="00D04066">
        <w:t>whole-class discussion and then</w:t>
      </w:r>
      <w:r>
        <w:t xml:space="preserve"> work in pairs to analyze a paragraph independently</w:t>
      </w:r>
      <w:r w:rsidR="00D04066">
        <w:t>. Finally, students</w:t>
      </w:r>
      <w:r>
        <w:t xml:space="preserve"> </w:t>
      </w:r>
      <w:r w:rsidR="00D04066">
        <w:t>annotate the text they have read before</w:t>
      </w:r>
      <w:r>
        <w:t xml:space="preserve"> completing a Quick Write </w:t>
      </w:r>
      <w:r w:rsidR="00864FD5">
        <w:t xml:space="preserve">on the following prompt: How does </w:t>
      </w:r>
      <w:proofErr w:type="spellStart"/>
      <w:r w:rsidR="00864FD5">
        <w:t>Yousafzai</w:t>
      </w:r>
      <w:proofErr w:type="spellEnd"/>
      <w:r w:rsidR="00864FD5">
        <w:t xml:space="preserve"> use rhetoric </w:t>
      </w:r>
      <w:r w:rsidR="00E95FB9">
        <w:t xml:space="preserve">in paragraphs 1–6 </w:t>
      </w:r>
      <w:r w:rsidR="00864FD5">
        <w:t>to advance her purpose?</w:t>
      </w:r>
      <w:r w:rsidR="00D04066">
        <w:t xml:space="preserve"> For homework, students </w:t>
      </w:r>
      <w:r>
        <w:t xml:space="preserve">read </w:t>
      </w:r>
      <w:r w:rsidR="006F4F0B">
        <w:rPr>
          <w:rStyle w:val="Hyperlink"/>
          <w:color w:val="auto"/>
          <w:u w:val="none"/>
        </w:rPr>
        <w:t xml:space="preserve">paragraphs </w:t>
      </w:r>
      <w:r w:rsidR="00864FD5">
        <w:rPr>
          <w:rStyle w:val="Hyperlink"/>
          <w:color w:val="auto"/>
          <w:u w:val="none"/>
        </w:rPr>
        <w:t>7</w:t>
      </w:r>
      <w:r w:rsidR="006F4F0B">
        <w:rPr>
          <w:rStyle w:val="Hyperlink"/>
          <w:color w:val="auto"/>
          <w:u w:val="none"/>
        </w:rPr>
        <w:t>–20</w:t>
      </w:r>
      <w:r w:rsidR="00084ED5">
        <w:rPr>
          <w:rStyle w:val="Hyperlink"/>
          <w:color w:val="auto"/>
          <w:u w:val="none"/>
        </w:rPr>
        <w:t xml:space="preserve"> </w:t>
      </w:r>
      <w:r w:rsidR="008D6F27">
        <w:rPr>
          <w:rStyle w:val="Hyperlink"/>
          <w:color w:val="auto"/>
          <w:u w:val="none"/>
        </w:rPr>
        <w:t>of the t</w:t>
      </w:r>
      <w:r w:rsidR="00650B66">
        <w:rPr>
          <w:rStyle w:val="Hyperlink"/>
          <w:color w:val="auto"/>
          <w:u w:val="none"/>
        </w:rPr>
        <w:t xml:space="preserve">ranscript of </w:t>
      </w:r>
      <w:proofErr w:type="spellStart"/>
      <w:r w:rsidR="00650B66">
        <w:rPr>
          <w:rStyle w:val="Hyperlink"/>
          <w:color w:val="auto"/>
          <w:u w:val="none"/>
        </w:rPr>
        <w:t>Yousafzai’s</w:t>
      </w:r>
      <w:proofErr w:type="spellEnd"/>
      <w:r w:rsidR="00650B66">
        <w:rPr>
          <w:rStyle w:val="Hyperlink"/>
          <w:color w:val="auto"/>
          <w:u w:val="none"/>
        </w:rPr>
        <w:t xml:space="preserve"> speech</w:t>
      </w:r>
      <w:r w:rsidR="008D6F27">
        <w:rPr>
          <w:rStyle w:val="Hyperlink"/>
          <w:color w:val="auto"/>
          <w:u w:val="none"/>
        </w:rPr>
        <w:t xml:space="preserve"> </w:t>
      </w:r>
      <w:r w:rsidR="00650B66">
        <w:rPr>
          <w:rStyle w:val="Hyperlink"/>
          <w:color w:val="auto"/>
          <w:u w:val="none"/>
        </w:rPr>
        <w:t>(</w:t>
      </w:r>
      <w:r w:rsidR="00C90535">
        <w:rPr>
          <w:rStyle w:val="Hyperlink"/>
          <w:color w:val="auto"/>
          <w:u w:val="none"/>
        </w:rPr>
        <w:t>from “</w:t>
      </w:r>
      <w:r w:rsidR="00864FD5">
        <w:rPr>
          <w:rStyle w:val="Hyperlink"/>
          <w:color w:val="auto"/>
          <w:u w:val="none"/>
        </w:rPr>
        <w:t>Dear sisters and brothers, I am not against anyone</w:t>
      </w:r>
      <w:r w:rsidR="0069201F">
        <w:rPr>
          <w:rStyle w:val="Hyperlink"/>
          <w:color w:val="auto"/>
          <w:u w:val="none"/>
        </w:rPr>
        <w:t>”</w:t>
      </w:r>
      <w:r w:rsidR="00C90535">
        <w:rPr>
          <w:rStyle w:val="Hyperlink"/>
          <w:color w:val="auto"/>
          <w:u w:val="none"/>
        </w:rPr>
        <w:t xml:space="preserve"> to “Education is the only solution. Education First”</w:t>
      </w:r>
      <w:r w:rsidR="00650B66">
        <w:rPr>
          <w:rStyle w:val="Hyperlink"/>
          <w:color w:val="auto"/>
          <w:u w:val="none"/>
        </w:rPr>
        <w:t>)</w:t>
      </w:r>
      <w:r w:rsidR="00C90535">
        <w:rPr>
          <w:rStyle w:val="Hyperlink"/>
          <w:color w:val="auto"/>
          <w:u w:val="none"/>
        </w:rPr>
        <w:t xml:space="preserve"> </w:t>
      </w:r>
      <w:r w:rsidR="00084ED5">
        <w:rPr>
          <w:rStyle w:val="Hyperlink"/>
          <w:color w:val="auto"/>
          <w:u w:val="none"/>
        </w:rPr>
        <w:t>and use the Rhetoric</w:t>
      </w:r>
      <w:r w:rsidR="000344B9">
        <w:rPr>
          <w:rStyle w:val="Hyperlink"/>
          <w:color w:val="auto"/>
          <w:u w:val="none"/>
        </w:rPr>
        <w:t>al Impact</w:t>
      </w:r>
      <w:r w:rsidR="00084ED5">
        <w:rPr>
          <w:rStyle w:val="Hyperlink"/>
          <w:color w:val="auto"/>
          <w:u w:val="none"/>
        </w:rPr>
        <w:t xml:space="preserve"> Tracking Tool to record the impact of her use of rhetoric</w:t>
      </w:r>
      <w:r w:rsidR="00D04066">
        <w:t>.</w:t>
      </w:r>
    </w:p>
    <w:p w:rsidR="00C4787C" w:rsidRDefault="008D6F27" w:rsidP="00E946A0">
      <w:pPr>
        <w:pStyle w:val="Heading1"/>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442"/>
        <w:gridCol w:w="8008"/>
      </w:tblGrid>
      <w:tr w:rsidR="00F308FF" w:rsidRPr="002E4C92" w:rsidTr="002B7F2E">
        <w:tc>
          <w:tcPr>
            <w:tcW w:w="9450"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rsidTr="002B7F2E">
        <w:tc>
          <w:tcPr>
            <w:tcW w:w="1442" w:type="dxa"/>
          </w:tcPr>
          <w:p w:rsidR="00FB2878" w:rsidRDefault="00123603" w:rsidP="000B2D56">
            <w:pPr>
              <w:pStyle w:val="TableText"/>
            </w:pPr>
            <w:r>
              <w:t>RI.9-10.6</w:t>
            </w:r>
          </w:p>
        </w:tc>
        <w:tc>
          <w:tcPr>
            <w:tcW w:w="8008" w:type="dxa"/>
          </w:tcPr>
          <w:p w:rsidR="00CF498D" w:rsidRPr="00D04066" w:rsidRDefault="00D04066" w:rsidP="00D04066">
            <w:pPr>
              <w:pStyle w:val="TableText"/>
              <w:rPr>
                <w:rFonts w:ascii="Times" w:hAnsi="Times"/>
              </w:rPr>
            </w:pPr>
            <w:r w:rsidRPr="00D04066">
              <w:rPr>
                <w:shd w:val="clear" w:color="auto" w:fill="FFFFFF"/>
              </w:rPr>
              <w:t>Determine an author’s point of view or purpose in a text and analyze how an author uses rhetoric to advance that point of view or purpose.</w:t>
            </w:r>
          </w:p>
        </w:tc>
      </w:tr>
      <w:tr w:rsidR="00F308FF" w:rsidRPr="00CF2582" w:rsidTr="002B7F2E">
        <w:tc>
          <w:tcPr>
            <w:tcW w:w="9450" w:type="dxa"/>
            <w:gridSpan w:val="2"/>
            <w:shd w:val="clear" w:color="auto" w:fill="76923C"/>
          </w:tcPr>
          <w:p w:rsidR="00F308FF" w:rsidRPr="00CF2582" w:rsidRDefault="00F308FF" w:rsidP="00B00346">
            <w:pPr>
              <w:pStyle w:val="TableHeaders"/>
            </w:pPr>
            <w:r w:rsidRPr="00CF2582">
              <w:t>Addressed Standard</w:t>
            </w:r>
            <w:r w:rsidR="00583FF7">
              <w:t>(s)</w:t>
            </w:r>
          </w:p>
        </w:tc>
      </w:tr>
      <w:tr w:rsidR="00D261AB" w:rsidRPr="0053542D" w:rsidTr="002B7F2E">
        <w:tc>
          <w:tcPr>
            <w:tcW w:w="1442" w:type="dxa"/>
          </w:tcPr>
          <w:p w:rsidR="00D261AB" w:rsidRDefault="00D261AB" w:rsidP="00D261AB">
            <w:pPr>
              <w:pStyle w:val="TableText"/>
            </w:pPr>
            <w:r>
              <w:t>W.9-10.9.b</w:t>
            </w:r>
          </w:p>
        </w:tc>
        <w:tc>
          <w:tcPr>
            <w:tcW w:w="8008" w:type="dxa"/>
          </w:tcPr>
          <w:p w:rsidR="00D261AB" w:rsidRDefault="00D261AB" w:rsidP="00D261AB">
            <w:pPr>
              <w:pStyle w:val="TableText"/>
            </w:pPr>
            <w:r>
              <w:t>Draw evidence from literary or informational texts to support analysis, reflection, and research.</w:t>
            </w:r>
          </w:p>
          <w:p w:rsidR="00D261AB" w:rsidRPr="00182506" w:rsidRDefault="00D261AB" w:rsidP="00D261AB">
            <w:pPr>
              <w:pStyle w:val="SubStandard"/>
            </w:pPr>
            <w:r>
              <w:t xml:space="preserve">Apply </w:t>
            </w:r>
            <w:r>
              <w:rPr>
                <w:i/>
              </w:rPr>
              <w:t>grades 9-10 Reading standards</w:t>
            </w:r>
            <w:r>
              <w:t xml:space="preserve"> to literary nonfiction (e.g., “Delineate and evaluate the argument and specific claims in a text, assessing whether the reasoning is valid and the evidence is relevant and sufficient; identify false statements and fallacious reasoning”).</w:t>
            </w:r>
          </w:p>
        </w:tc>
      </w:tr>
      <w:tr w:rsidR="000B2D56" w:rsidRPr="0053542D" w:rsidTr="002B7F2E">
        <w:tc>
          <w:tcPr>
            <w:tcW w:w="1442" w:type="dxa"/>
          </w:tcPr>
          <w:p w:rsidR="000B2D56" w:rsidRPr="009C28BD" w:rsidRDefault="00D04066" w:rsidP="00D04066">
            <w:pPr>
              <w:pStyle w:val="TableText"/>
            </w:pPr>
            <w:r>
              <w:t>L.9-10.4.a</w:t>
            </w:r>
          </w:p>
        </w:tc>
        <w:tc>
          <w:tcPr>
            <w:tcW w:w="8008" w:type="dxa"/>
          </w:tcPr>
          <w:p w:rsidR="00D04066" w:rsidRPr="00182506" w:rsidRDefault="00D04066" w:rsidP="00182506">
            <w:pPr>
              <w:pStyle w:val="TableText"/>
            </w:pPr>
            <w:r w:rsidRPr="00182506">
              <w:t>Determine or clarify the meaning of unknown and multiple-meaning words and phrases based on</w:t>
            </w:r>
            <w:r w:rsidR="00847C13">
              <w:t xml:space="preserve"> </w:t>
            </w:r>
            <w:r w:rsidRPr="00182506">
              <w:rPr>
                <w:i/>
              </w:rPr>
              <w:t>grades 9–10 reading and content</w:t>
            </w:r>
            <w:r w:rsidRPr="00182506">
              <w:t>, choosing flexibly from a range of strategies.</w:t>
            </w:r>
          </w:p>
          <w:p w:rsidR="000B2D56" w:rsidRPr="002F155B" w:rsidRDefault="00D04066" w:rsidP="00D261AB">
            <w:pPr>
              <w:pStyle w:val="SubStandard"/>
              <w:numPr>
                <w:ilvl w:val="0"/>
                <w:numId w:val="40"/>
              </w:numPr>
            </w:pPr>
            <w:r w:rsidRPr="002F155B">
              <w:t>Use context (e.g., the overall meaning of a sentence, paragraph, or text; a word’s position or function in a sentence) as a clue to the meaning of a word or phrase.</w:t>
            </w:r>
          </w:p>
        </w:tc>
      </w:tr>
    </w:tbl>
    <w:p w:rsidR="00C4787C" w:rsidRDefault="00C4787C" w:rsidP="00E946A0">
      <w:pPr>
        <w:pStyle w:val="Heading1"/>
      </w:pPr>
      <w:r>
        <w:lastRenderedPageBreak/>
        <w:t>Assessment</w:t>
      </w:r>
    </w:p>
    <w:tbl>
      <w:tblPr>
        <w:tblW w:w="95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1"/>
      </w:tblGrid>
      <w:tr w:rsidR="00263AF5" w:rsidRPr="002E4C92">
        <w:tc>
          <w:tcPr>
            <w:tcW w:w="9591" w:type="dxa"/>
            <w:shd w:val="clear" w:color="auto" w:fill="76923C"/>
          </w:tcPr>
          <w:p w:rsidR="00D920A6" w:rsidRPr="002E4C92" w:rsidRDefault="00D920A6" w:rsidP="00B00346">
            <w:pPr>
              <w:pStyle w:val="TableHeaders"/>
            </w:pPr>
            <w:r w:rsidRPr="002E4C92">
              <w:t>Assessment(s)</w:t>
            </w:r>
          </w:p>
        </w:tc>
      </w:tr>
      <w:tr w:rsidR="00B231AA">
        <w:tc>
          <w:tcPr>
            <w:tcW w:w="9591" w:type="dxa"/>
            <w:tcBorders>
              <w:top w:val="single" w:sz="4" w:space="0" w:color="auto"/>
              <w:left w:val="single" w:sz="4" w:space="0" w:color="auto"/>
              <w:bottom w:val="single" w:sz="4" w:space="0" w:color="auto"/>
              <w:right w:val="single" w:sz="4" w:space="0" w:color="auto"/>
            </w:tcBorders>
          </w:tcPr>
          <w:p w:rsidR="00123603" w:rsidRPr="006D5695" w:rsidRDefault="00123603" w:rsidP="00123603">
            <w:pPr>
              <w:pStyle w:val="TableText"/>
            </w:pPr>
            <w:r w:rsidRPr="006D5695">
              <w:t xml:space="preserve">Student learning </w:t>
            </w:r>
            <w:r>
              <w:t>is</w:t>
            </w:r>
            <w:r w:rsidRPr="006D5695">
              <w:t xml:space="preserve"> assessed via a Quick Write at </w:t>
            </w:r>
            <w:r>
              <w:t>the end of the lesson. Students</w:t>
            </w:r>
            <w:r w:rsidRPr="006D5695">
              <w:t xml:space="preserve"> </w:t>
            </w:r>
            <w:r>
              <w:t>respond to</w:t>
            </w:r>
            <w:r w:rsidRPr="006D5695">
              <w:t xml:space="preserve"> the following prompt, citing textual evidence to support analysis and inferences drawn from the text</w:t>
            </w:r>
            <w:r>
              <w:t>.</w:t>
            </w:r>
          </w:p>
          <w:p w:rsidR="00123603" w:rsidRPr="003908D2" w:rsidRDefault="00F6084F" w:rsidP="00E95FB9">
            <w:pPr>
              <w:pStyle w:val="BulletedList"/>
            </w:pPr>
            <w:r w:rsidRPr="00F6084F">
              <w:t xml:space="preserve">How does </w:t>
            </w:r>
            <w:proofErr w:type="spellStart"/>
            <w:r w:rsidRPr="00F6084F">
              <w:t>Yousafzai</w:t>
            </w:r>
            <w:proofErr w:type="spellEnd"/>
            <w:r w:rsidRPr="00F6084F">
              <w:t xml:space="preserve"> use rhetoric in paragraphs 1–</w:t>
            </w:r>
            <w:r w:rsidR="00E95FB9">
              <w:t>6</w:t>
            </w:r>
            <w:r w:rsidRPr="00F6084F">
              <w:t xml:space="preserve"> to advance her purpose?</w:t>
            </w:r>
          </w:p>
        </w:tc>
      </w:tr>
      <w:tr w:rsidR="00263AF5" w:rsidRPr="00B00346">
        <w:tc>
          <w:tcPr>
            <w:tcW w:w="9591" w:type="dxa"/>
            <w:shd w:val="clear" w:color="auto" w:fill="76923C"/>
          </w:tcPr>
          <w:p w:rsidR="00D920A6" w:rsidRPr="00B00346" w:rsidRDefault="00D920A6" w:rsidP="00B00346">
            <w:pPr>
              <w:pStyle w:val="TableHeaders"/>
            </w:pPr>
            <w:r w:rsidRPr="00B00346">
              <w:t>High Performance Response(s)</w:t>
            </w:r>
          </w:p>
        </w:tc>
      </w:tr>
      <w:tr w:rsidR="00D920A6">
        <w:tc>
          <w:tcPr>
            <w:tcW w:w="9591" w:type="dxa"/>
          </w:tcPr>
          <w:p w:rsidR="00BE4EBD" w:rsidRDefault="000B2D56" w:rsidP="008151E5">
            <w:pPr>
              <w:pStyle w:val="TableText"/>
            </w:pPr>
            <w:r>
              <w:t xml:space="preserve">A </w:t>
            </w:r>
            <w:r w:rsidR="00A213D5">
              <w:t>H</w:t>
            </w:r>
            <w:r w:rsidR="00BE4EBD">
              <w:t xml:space="preserve">igh </w:t>
            </w:r>
            <w:r w:rsidR="00A213D5">
              <w:t xml:space="preserve">Performance Response </w:t>
            </w:r>
            <w:r w:rsidR="00553ACA">
              <w:t>should</w:t>
            </w:r>
            <w:r w:rsidR="00BE4EBD">
              <w:t>:</w:t>
            </w:r>
          </w:p>
          <w:p w:rsidR="00D920A6" w:rsidRDefault="00123603" w:rsidP="005F4B4C">
            <w:pPr>
              <w:pStyle w:val="BulletedList"/>
            </w:pPr>
            <w:r>
              <w:t xml:space="preserve">Identify a purpose advanced </w:t>
            </w:r>
            <w:r w:rsidR="00AD5435">
              <w:t xml:space="preserve">in </w:t>
            </w:r>
            <w:proofErr w:type="spellStart"/>
            <w:r>
              <w:t>Yousafzai’s</w:t>
            </w:r>
            <w:proofErr w:type="spellEnd"/>
            <w:r>
              <w:t xml:space="preserve"> speech</w:t>
            </w:r>
            <w:r w:rsidR="00354239">
              <w:t xml:space="preserve"> (</w:t>
            </w:r>
            <w:r w:rsidR="00945AFD">
              <w:t>e.g.,</w:t>
            </w:r>
            <w:r w:rsidR="00354239">
              <w:t xml:space="preserve"> to speak </w:t>
            </w:r>
            <w:r w:rsidR="002C6936">
              <w:t>“</w:t>
            </w:r>
            <w:r w:rsidR="00354239">
              <w:t xml:space="preserve">so that those without a voice can be heard” </w:t>
            </w:r>
            <w:r w:rsidR="001F4C28">
              <w:t>(par. 5)</w:t>
            </w:r>
            <w:r w:rsidR="00730909">
              <w:t xml:space="preserve"> etc.</w:t>
            </w:r>
            <w:r w:rsidR="00354239">
              <w:t>).</w:t>
            </w:r>
          </w:p>
          <w:p w:rsidR="00D04066" w:rsidRDefault="00123603" w:rsidP="005F4B4C">
            <w:pPr>
              <w:pStyle w:val="BulletedList"/>
            </w:pPr>
            <w:r>
              <w:t>Identify</w:t>
            </w:r>
            <w:r w:rsidR="00D04066">
              <w:t xml:space="preserve"> an example of rhetoric</w:t>
            </w:r>
            <w:r w:rsidR="00354239">
              <w:t xml:space="preserve"> (e.g., use of repetition when she uses “the same” in the final two sentence</w:t>
            </w:r>
            <w:r w:rsidR="001F4C28">
              <w:t>s</w:t>
            </w:r>
            <w:r w:rsidR="00354239">
              <w:t xml:space="preserve"> of paragraph 6; </w:t>
            </w:r>
            <w:r w:rsidR="001F4C28">
              <w:t xml:space="preserve">appeal to pathos when she describes the Taliban attack in paragraph 6; </w:t>
            </w:r>
            <w:r w:rsidR="00016007">
              <w:t>the use of parallel structure in paragraph 6</w:t>
            </w:r>
            <w:r w:rsidR="00D84BA9">
              <w:t>: “</w:t>
            </w:r>
            <w:r w:rsidR="00D84BA9" w:rsidRPr="00D84BA9">
              <w:t>Weakness, fear and hopelessness died. Strength, power and courage was born</w:t>
            </w:r>
            <w:r w:rsidR="00D84BA9">
              <w:t>”</w:t>
            </w:r>
            <w:r w:rsidR="00016007">
              <w:t xml:space="preserve">; </w:t>
            </w:r>
            <w:r w:rsidR="00354239">
              <w:t>etc.)</w:t>
            </w:r>
            <w:r w:rsidR="00D04066">
              <w:t>.</w:t>
            </w:r>
          </w:p>
          <w:p w:rsidR="00123603" w:rsidRPr="003908D2" w:rsidRDefault="00D04066" w:rsidP="008D6F27">
            <w:pPr>
              <w:pStyle w:val="BulletedList"/>
              <w:rPr>
                <w:rFonts w:asciiTheme="majorHAnsi" w:eastAsiaTheme="majorEastAsia" w:hAnsiTheme="majorHAnsi" w:cstheme="majorBidi"/>
                <w:i/>
                <w:iCs/>
                <w:color w:val="404040" w:themeColor="text1" w:themeTint="BF"/>
              </w:rPr>
            </w:pPr>
            <w:r>
              <w:t>Explain</w:t>
            </w:r>
            <w:r w:rsidR="00123603">
              <w:t xml:space="preserve"> how rhetoric advances the purpose</w:t>
            </w:r>
            <w:r w:rsidR="00354239">
              <w:t xml:space="preserve"> (</w:t>
            </w:r>
            <w:r w:rsidR="00945AFD">
              <w:t>e.g.</w:t>
            </w:r>
            <w:r w:rsidR="00354239">
              <w:t xml:space="preserve">, </w:t>
            </w:r>
            <w:proofErr w:type="spellStart"/>
            <w:r w:rsidR="00354239">
              <w:t>Yousafzai’s</w:t>
            </w:r>
            <w:proofErr w:type="spellEnd"/>
            <w:r w:rsidR="00354239">
              <w:t xml:space="preserve"> description of the shooting is an appeal to ethos that establishes her credentials as someone willing to risk her life in order to promote education</w:t>
            </w:r>
            <w:r w:rsidR="00945AFD">
              <w:t xml:space="preserve">; her use of the shooting is also an appeal to pathos because it </w:t>
            </w:r>
            <w:r w:rsidR="00372462">
              <w:t>creates sympathy for</w:t>
            </w:r>
            <w:r w:rsidR="00945AFD">
              <w:t xml:space="preserve"> her as a young girl </w:t>
            </w:r>
            <w:r w:rsidR="008D6F27">
              <w:t>who is being shot by extremists</w:t>
            </w:r>
            <w:r w:rsidR="00945AFD">
              <w:t>).</w:t>
            </w:r>
          </w:p>
        </w:tc>
      </w:tr>
    </w:tbl>
    <w:p w:rsidR="00C4787C" w:rsidRDefault="00C4787C" w:rsidP="00837D3C">
      <w:pPr>
        <w:pStyle w:val="Heading1"/>
        <w:spacing w:before="240"/>
      </w:pPr>
      <w:r>
        <w:t>Vocabulary</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0"/>
      </w:tblGrid>
      <w:tr w:rsidR="00C02EC2" w:rsidRPr="00B00346">
        <w:tc>
          <w:tcPr>
            <w:tcW w:w="954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540" w:type="dxa"/>
          </w:tcPr>
          <w:p w:rsidR="009870D8" w:rsidRPr="00B231AA" w:rsidRDefault="002E4AF8" w:rsidP="00837D3C">
            <w:pPr>
              <w:pStyle w:val="BulletedList"/>
            </w:pPr>
            <w:r>
              <w:t>Taliban</w:t>
            </w:r>
            <w:r w:rsidR="00BE4EBD">
              <w:t xml:space="preserve"> (n.) – </w:t>
            </w:r>
            <w:r w:rsidR="00757EFD">
              <w:t xml:space="preserve">a fundamentalist </w:t>
            </w:r>
            <w:r w:rsidR="00C23A51">
              <w:t>Islamic militia</w:t>
            </w:r>
            <w:r w:rsidR="00757EFD">
              <w:t xml:space="preserve"> </w:t>
            </w:r>
            <w:r w:rsidR="00084ED5">
              <w:t>[</w:t>
            </w:r>
            <w:r w:rsidR="00757EFD">
              <w:t>originating</w:t>
            </w:r>
            <w:r w:rsidR="00084ED5">
              <w:t>]</w:t>
            </w:r>
            <w:r w:rsidR="00757EFD">
              <w:t xml:space="preserve"> in Afghanistan</w:t>
            </w:r>
          </w:p>
        </w:tc>
      </w:tr>
      <w:tr w:rsidR="00263AF5" w:rsidRPr="00F308FF">
        <w:tc>
          <w:tcPr>
            <w:tcW w:w="954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tc>
          <w:tcPr>
            <w:tcW w:w="9540" w:type="dxa"/>
          </w:tcPr>
          <w:p w:rsidR="002E4AF8" w:rsidRPr="00B231AA" w:rsidRDefault="00524DEC" w:rsidP="000B2D56">
            <w:pPr>
              <w:pStyle w:val="BulletedList"/>
            </w:pPr>
            <w:r>
              <w:t>None.</w:t>
            </w:r>
          </w:p>
        </w:tc>
      </w:tr>
    </w:tbl>
    <w:p w:rsidR="00C4787C" w:rsidRDefault="00C4787C" w:rsidP="00837D3C">
      <w:pPr>
        <w:pStyle w:val="Heading1"/>
        <w:spacing w:before="240"/>
      </w:pPr>
      <w:r>
        <w:t>Lesson Agenda/Overview</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9"/>
        <w:gridCol w:w="1791"/>
      </w:tblGrid>
      <w:tr w:rsidR="00263AF5" w:rsidRPr="00C02EC2">
        <w:tc>
          <w:tcPr>
            <w:tcW w:w="7749"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791"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749"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123603">
              <w:t>RI.9-10.6</w:t>
            </w:r>
            <w:r w:rsidR="00332297">
              <w:t xml:space="preserve">, </w:t>
            </w:r>
            <w:r w:rsidR="00FF6BB0">
              <w:t xml:space="preserve">W.9-10.9.b, </w:t>
            </w:r>
            <w:r w:rsidR="00332297">
              <w:t>L.9-10.4.a</w:t>
            </w:r>
          </w:p>
          <w:p w:rsidR="00730123" w:rsidRPr="008D6F27" w:rsidRDefault="004C5CC0" w:rsidP="002B7F2E">
            <w:pPr>
              <w:pStyle w:val="BulletedList"/>
            </w:pPr>
            <w:r w:rsidRPr="008D6F27">
              <w:t>Text: “</w:t>
            </w:r>
            <w:r w:rsidR="00214BEC" w:rsidRPr="008D6F27">
              <w:t>Address to the United Nations Youth Assembly</w:t>
            </w:r>
            <w:r w:rsidRPr="008D6F27">
              <w:t>”</w:t>
            </w:r>
            <w:r w:rsidR="002B7F2E">
              <w:t xml:space="preserve"> by</w:t>
            </w:r>
            <w:r w:rsidR="00214BEC" w:rsidRPr="008D6F27">
              <w:t xml:space="preserve"> </w:t>
            </w:r>
            <w:proofErr w:type="spellStart"/>
            <w:r w:rsidR="00214BEC" w:rsidRPr="008D6F27">
              <w:t>Malala</w:t>
            </w:r>
            <w:proofErr w:type="spellEnd"/>
            <w:r w:rsidR="00214BEC" w:rsidRPr="008D6F27">
              <w:t xml:space="preserve"> </w:t>
            </w:r>
            <w:proofErr w:type="spellStart"/>
            <w:r w:rsidR="00214BEC" w:rsidRPr="008D6F27">
              <w:t>Yousafzai</w:t>
            </w:r>
            <w:proofErr w:type="spellEnd"/>
            <w:r w:rsidRPr="008D6F27">
              <w:t>, July 12, 2013</w:t>
            </w:r>
            <w:r w:rsidR="008D6F27">
              <w:t xml:space="preserve"> (</w:t>
            </w:r>
            <w:hyperlink r:id="rId9" w:history="1">
              <w:r w:rsidR="002B7F2E" w:rsidRPr="00E41A54">
                <w:rPr>
                  <w:rStyle w:val="Hyperlink"/>
                </w:rPr>
                <w:t>http://secure.aworldatschool.org</w:t>
              </w:r>
            </w:hyperlink>
            <w:r w:rsidR="008D6F27">
              <w:t>)</w:t>
            </w:r>
            <w:r w:rsidR="002B7F2E">
              <w:t>,</w:t>
            </w:r>
            <w:r w:rsidR="00DE081A" w:rsidRPr="008D6F27">
              <w:t xml:space="preserve"> “</w:t>
            </w:r>
            <w:proofErr w:type="spellStart"/>
            <w:r w:rsidR="00DE081A" w:rsidRPr="008D6F27">
              <w:t>Malala</w:t>
            </w:r>
            <w:proofErr w:type="spellEnd"/>
            <w:r w:rsidR="00DE081A" w:rsidRPr="008D6F27">
              <w:t xml:space="preserve"> </w:t>
            </w:r>
            <w:proofErr w:type="spellStart"/>
            <w:r w:rsidR="00DE081A" w:rsidRPr="008D6F27">
              <w:t>Yousafzai</w:t>
            </w:r>
            <w:proofErr w:type="spellEnd"/>
            <w:r w:rsidR="00DE081A" w:rsidRPr="008D6F27">
              <w:t xml:space="preserve"> Addresses United Nations Youth Assembly” video </w:t>
            </w:r>
            <w:r w:rsidR="008D6F27">
              <w:t>(</w:t>
            </w:r>
            <w:hyperlink r:id="rId10" w:history="1">
              <w:r w:rsidR="002B7F2E" w:rsidRPr="00E41A54">
                <w:rPr>
                  <w:rStyle w:val="Hyperlink"/>
                </w:rPr>
                <w:t>http://webtv.un.org/watch/malala-yousafzai-addresses-united-nations-youth-assembly/2542094251001/</w:t>
              </w:r>
            </w:hyperlink>
            <w:r w:rsidR="008D6F27">
              <w:rPr>
                <w:rStyle w:val="Hyperlink"/>
                <w:color w:val="auto"/>
                <w:u w:val="none"/>
              </w:rPr>
              <w:t>)</w:t>
            </w:r>
            <w:r w:rsidR="002B7F2E">
              <w:rPr>
                <w:rStyle w:val="Hyperlink"/>
                <w:color w:val="auto"/>
                <w:u w:val="none"/>
              </w:rPr>
              <w:t xml:space="preserve"> </w:t>
            </w:r>
          </w:p>
        </w:tc>
        <w:tc>
          <w:tcPr>
            <w:tcW w:w="1791"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749" w:type="dxa"/>
            <w:tcBorders>
              <w:top w:val="nil"/>
            </w:tcBorders>
          </w:tcPr>
          <w:p w:rsidR="00546D71" w:rsidRPr="000B2D56" w:rsidRDefault="00546D71" w:rsidP="000B2D56">
            <w:pPr>
              <w:pStyle w:val="TableText"/>
              <w:rPr>
                <w:b/>
              </w:rPr>
            </w:pPr>
            <w:r w:rsidRPr="000B2D56">
              <w:rPr>
                <w:b/>
              </w:rPr>
              <w:lastRenderedPageBreak/>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546D71" w:rsidRDefault="002E4AF8" w:rsidP="00546D71">
            <w:pPr>
              <w:pStyle w:val="NumberedList"/>
            </w:pPr>
            <w:r>
              <w:t>Masterful Reading</w:t>
            </w:r>
          </w:p>
          <w:p w:rsidR="00546D71" w:rsidRDefault="00D04066" w:rsidP="00546D71">
            <w:pPr>
              <w:pStyle w:val="NumberedList"/>
            </w:pPr>
            <w:r>
              <w:t>Reading and Discussion</w:t>
            </w:r>
          </w:p>
          <w:p w:rsidR="00546D71" w:rsidRDefault="002E4AF8" w:rsidP="00546D71">
            <w:pPr>
              <w:pStyle w:val="NumberedList"/>
            </w:pPr>
            <w:r>
              <w:t>Quick Write</w:t>
            </w:r>
          </w:p>
          <w:p w:rsidR="00546D71" w:rsidRPr="00546D71" w:rsidRDefault="00546D71" w:rsidP="00546D71">
            <w:pPr>
              <w:pStyle w:val="NumberedList"/>
            </w:pPr>
            <w:r>
              <w:t>Closing</w:t>
            </w:r>
          </w:p>
        </w:tc>
        <w:tc>
          <w:tcPr>
            <w:tcW w:w="1791" w:type="dxa"/>
            <w:tcBorders>
              <w:top w:val="nil"/>
            </w:tcBorders>
          </w:tcPr>
          <w:p w:rsidR="00546D71" w:rsidRDefault="00546D71" w:rsidP="000B2D56">
            <w:pPr>
              <w:pStyle w:val="TableText"/>
            </w:pPr>
          </w:p>
          <w:p w:rsidR="00546D71" w:rsidRDefault="00546D71" w:rsidP="00546D71">
            <w:pPr>
              <w:pStyle w:val="NumberedList"/>
              <w:numPr>
                <w:ilvl w:val="0"/>
                <w:numId w:val="34"/>
              </w:numPr>
            </w:pPr>
            <w:r>
              <w:t>5%</w:t>
            </w:r>
          </w:p>
          <w:p w:rsidR="00546D71" w:rsidRDefault="000B2D56" w:rsidP="00546D71">
            <w:pPr>
              <w:pStyle w:val="NumberedList"/>
            </w:pPr>
            <w:r>
              <w:t>10</w:t>
            </w:r>
            <w:r w:rsidR="00546D71">
              <w:t>%</w:t>
            </w:r>
          </w:p>
          <w:p w:rsidR="00546D71" w:rsidRDefault="002E4AF8" w:rsidP="00546D71">
            <w:pPr>
              <w:pStyle w:val="NumberedList"/>
            </w:pPr>
            <w:r>
              <w:t>40</w:t>
            </w:r>
            <w:r w:rsidR="00546D71">
              <w:t>%</w:t>
            </w:r>
          </w:p>
          <w:p w:rsidR="00546D71" w:rsidRDefault="002E4AF8" w:rsidP="00546D71">
            <w:pPr>
              <w:pStyle w:val="NumberedList"/>
            </w:pPr>
            <w:r>
              <w:t>30</w:t>
            </w:r>
            <w:r w:rsidR="00546D71">
              <w:t>%</w:t>
            </w:r>
          </w:p>
          <w:p w:rsidR="00546D71" w:rsidRDefault="002E4AF8" w:rsidP="00546D71">
            <w:pPr>
              <w:pStyle w:val="NumberedList"/>
            </w:pPr>
            <w:r>
              <w:t>10</w:t>
            </w:r>
            <w:r w:rsidR="00546D71">
              <w:t>%</w:t>
            </w:r>
          </w:p>
          <w:p w:rsidR="00546D71" w:rsidRPr="00C02EC2" w:rsidRDefault="00546D71" w:rsidP="00546D71">
            <w:pPr>
              <w:pStyle w:val="NumberedList"/>
            </w:pPr>
            <w:r>
              <w:t>5%</w:t>
            </w:r>
          </w:p>
        </w:tc>
      </w:tr>
    </w:tbl>
    <w:p w:rsidR="003368BF" w:rsidRDefault="00F308FF" w:rsidP="00E946A0">
      <w:pPr>
        <w:pStyle w:val="Heading1"/>
      </w:pPr>
      <w:r>
        <w:t>Materials</w:t>
      </w:r>
    </w:p>
    <w:p w:rsidR="000907A1" w:rsidRDefault="00C07C6C" w:rsidP="000907A1">
      <w:pPr>
        <w:pStyle w:val="BulletedList"/>
      </w:pPr>
      <w:r>
        <w:t>C</w:t>
      </w:r>
      <w:r w:rsidR="00CA7D34">
        <w:t xml:space="preserve">opies </w:t>
      </w:r>
      <w:r w:rsidR="00EB6B9A">
        <w:t xml:space="preserve">of </w:t>
      </w:r>
      <w:r w:rsidR="00517058">
        <w:t xml:space="preserve">the </w:t>
      </w:r>
      <w:r w:rsidR="00EB6B9A">
        <w:t>Rhetoric</w:t>
      </w:r>
      <w:r w:rsidR="006F4F0B">
        <w:t xml:space="preserve">al </w:t>
      </w:r>
      <w:r w:rsidR="000344B9">
        <w:t>Impact</w:t>
      </w:r>
      <w:r w:rsidR="00EB6B9A">
        <w:t xml:space="preserve"> Tracking Tool</w:t>
      </w:r>
      <w:r w:rsidR="00A213D5">
        <w:t xml:space="preserve"> </w:t>
      </w:r>
      <w:r>
        <w:t xml:space="preserve">for each student </w:t>
      </w:r>
      <w:r w:rsidR="00DE081A">
        <w:t>(refer to 10.2.1 Lesson 4)</w:t>
      </w:r>
      <w:r w:rsidRPr="00C07C6C">
        <w:t xml:space="preserve">—Students </w:t>
      </w:r>
      <w:r>
        <w:t>will</w:t>
      </w:r>
      <w:r w:rsidRPr="00C07C6C">
        <w:t xml:space="preserve"> need blank copies of the tool </w:t>
      </w:r>
      <w:r>
        <w:t>for this lesson</w:t>
      </w:r>
      <w:r w:rsidRPr="00C07C6C">
        <w:t>.</w:t>
      </w:r>
    </w:p>
    <w:p w:rsidR="00EB6B9A" w:rsidRDefault="000D7E64" w:rsidP="00064850">
      <w:pPr>
        <w:pStyle w:val="BulletedList"/>
      </w:pPr>
      <w:r>
        <w:t xml:space="preserve">Copies of </w:t>
      </w:r>
      <w:proofErr w:type="spellStart"/>
      <w:r>
        <w:t>Malala</w:t>
      </w:r>
      <w:proofErr w:type="spellEnd"/>
      <w:r>
        <w:t xml:space="preserve"> </w:t>
      </w:r>
      <w:proofErr w:type="spellStart"/>
      <w:r>
        <w:t>Yousafzai’s</w:t>
      </w:r>
      <w:proofErr w:type="spellEnd"/>
      <w:r>
        <w:t xml:space="preserve"> “Address to the United Nations Youth Assembly” </w:t>
      </w:r>
      <w:r w:rsidR="00D60AE7">
        <w:t>for each student</w:t>
      </w:r>
      <w:r w:rsidR="00DD7E21">
        <w:t xml:space="preserve"> (with paragraphs numbered 1–20)</w:t>
      </w:r>
    </w:p>
    <w:p w:rsidR="00C07C6C" w:rsidRDefault="00C07C6C" w:rsidP="00C07C6C">
      <w:pPr>
        <w:pStyle w:val="BulletedList"/>
      </w:pPr>
      <w:r>
        <w:t xml:space="preserve">Copies of the </w:t>
      </w:r>
      <w:r w:rsidRPr="007B18BA">
        <w:t>Argument Delineation Tool</w:t>
      </w:r>
      <w:r>
        <w:t xml:space="preserve"> for each student (refer to 10.2.1 Lesson 5)</w:t>
      </w:r>
      <w:r w:rsidRPr="00C07C6C">
        <w:t xml:space="preserve">—Students </w:t>
      </w:r>
      <w:r>
        <w:t>will</w:t>
      </w:r>
      <w:r w:rsidRPr="00C07C6C">
        <w:t xml:space="preserve"> need blank copies of the tool </w:t>
      </w:r>
      <w:r>
        <w:t>for this lesson’s homework</w:t>
      </w:r>
      <w:r w:rsidRPr="00C07C6C">
        <w:t>.</w:t>
      </w:r>
    </w:p>
    <w:p w:rsidR="007B18BA" w:rsidRPr="001D1681" w:rsidRDefault="00AF0B4D" w:rsidP="001D1681">
      <w:pPr>
        <w:pStyle w:val="IN"/>
      </w:pPr>
      <w:r w:rsidRPr="001D1681">
        <w:t xml:space="preserve">Consider numbering the paragraphs of the transcript of </w:t>
      </w:r>
      <w:proofErr w:type="spellStart"/>
      <w:r w:rsidRPr="001D1681">
        <w:t>Yousafzai’s</w:t>
      </w:r>
      <w:proofErr w:type="spellEnd"/>
      <w:r w:rsidRPr="001D1681">
        <w:t xml:space="preserve"> “Address to the United Nations Youth Assembly” before </w:t>
      </w:r>
      <w:r w:rsidR="00DD7E21">
        <w:t>the lesson</w:t>
      </w:r>
      <w:r w:rsidRPr="001D1681">
        <w:t>.</w:t>
      </w:r>
    </w:p>
    <w:p w:rsidR="00C4787C" w:rsidRPr="00A24DAB" w:rsidRDefault="00C4787C" w:rsidP="00E946A0">
      <w:pPr>
        <w:pStyle w:val="Heading1"/>
      </w:pPr>
      <w:r w:rsidRPr="00A24DAB">
        <w:t>Learning Sequence</w:t>
      </w:r>
    </w:p>
    <w:tbl>
      <w:tblPr>
        <w:tblStyle w:val="TableGrid"/>
        <w:tblW w:w="95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007"/>
        <w:gridCol w:w="8574"/>
      </w:tblGrid>
      <w:tr w:rsidR="00546D71" w:rsidRPr="001C6EA7">
        <w:tc>
          <w:tcPr>
            <w:tcW w:w="9581"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1007"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1007" w:type="dxa"/>
          </w:tcPr>
          <w:p w:rsidR="00546D71" w:rsidRPr="00E65C14" w:rsidRDefault="00546D71" w:rsidP="00123603">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123603">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1007"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123603">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1007" w:type="dxa"/>
            <w:vMerge/>
          </w:tcPr>
          <w:p w:rsidR="00A948B3" w:rsidRPr="000D6FA4" w:rsidRDefault="00A948B3" w:rsidP="00123603">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1007" w:type="dxa"/>
            <w:vMerge/>
          </w:tcPr>
          <w:p w:rsidR="00A948B3" w:rsidRPr="000D6FA4" w:rsidRDefault="00A948B3" w:rsidP="00123603">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7"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123603">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7"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123603">
            <w:pPr>
              <w:spacing w:before="20" w:after="20" w:line="240" w:lineRule="auto"/>
              <w:rPr>
                <w:sz w:val="20"/>
              </w:rPr>
            </w:pPr>
            <w:r w:rsidRPr="001708C2">
              <w:rPr>
                <w:sz w:val="20"/>
              </w:rPr>
              <w:t>Indicates possible student response(s) to teacher questions.</w:t>
            </w:r>
          </w:p>
        </w:tc>
      </w:tr>
      <w:tr w:rsidR="00546D71" w:rsidRPr="000D6FA4">
        <w:tc>
          <w:tcPr>
            <w:tcW w:w="1007"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123603">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64234F" w:rsidRDefault="0064234F" w:rsidP="0064234F">
      <w:pPr>
        <w:pStyle w:val="TA"/>
      </w:pPr>
      <w:r>
        <w:t xml:space="preserve">Begin by reviewing the agenda and assessed standard for this lesson: RI.9-10.6. In this lesson, students explore how </w:t>
      </w:r>
      <w:proofErr w:type="spellStart"/>
      <w:r>
        <w:t>Malala</w:t>
      </w:r>
      <w:proofErr w:type="spellEnd"/>
      <w:r>
        <w:t xml:space="preserve"> </w:t>
      </w:r>
      <w:proofErr w:type="spellStart"/>
      <w:r>
        <w:t>Yousafzai</w:t>
      </w:r>
      <w:proofErr w:type="spellEnd"/>
      <w:r>
        <w:t xml:space="preserve"> advances her purpose in the first half of her speech through the use of rhetoric. Students watch </w:t>
      </w:r>
      <w:proofErr w:type="spellStart"/>
      <w:r>
        <w:t>Yousafzai</w:t>
      </w:r>
      <w:proofErr w:type="spellEnd"/>
      <w:r>
        <w:t xml:space="preserve"> delivering her speech to the United Nations Youth Assembly on July </w:t>
      </w:r>
      <w:r>
        <w:lastRenderedPageBreak/>
        <w:t>12, 2013. Students engage in evidence-based discussion</w:t>
      </w:r>
      <w:r w:rsidR="00A213D5">
        <w:t>s</w:t>
      </w:r>
      <w:r>
        <w:t xml:space="preserve"> as well as complete a brief writing assignment to close the lesson.</w:t>
      </w:r>
    </w:p>
    <w:p w:rsidR="0064234F" w:rsidRDefault="0064234F" w:rsidP="0064234F">
      <w:pPr>
        <w:pStyle w:val="SA"/>
      </w:pPr>
      <w:r>
        <w:t xml:space="preserve">Students </w:t>
      </w:r>
      <w:r w:rsidR="00CA2348">
        <w:t>look at the agenda</w:t>
      </w:r>
      <w:r>
        <w:t>.</w:t>
      </w:r>
    </w:p>
    <w:p w:rsidR="000B2D56" w:rsidRDefault="000B2D56" w:rsidP="00CE2836">
      <w:pPr>
        <w:pStyle w:val="LearningSequenceHeader"/>
      </w:pPr>
      <w:r>
        <w:t>Activity 2</w:t>
      </w:r>
      <w:r w:rsidRPr="000B2D56">
        <w:t xml:space="preserve">: </w:t>
      </w:r>
      <w:r>
        <w:t>Homework Accountability</w:t>
      </w:r>
      <w:r>
        <w:tab/>
        <w:t>10</w:t>
      </w:r>
      <w:r w:rsidRPr="000B2D56">
        <w:t>%</w:t>
      </w:r>
    </w:p>
    <w:p w:rsidR="000907A1" w:rsidRDefault="000907A1" w:rsidP="000907A1">
      <w:pPr>
        <w:pStyle w:val="TA"/>
      </w:pPr>
      <w:r>
        <w:t>Instruct students to work in pairs to share their additions to the Argument Delineation Tool for Eleanor R</w:t>
      </w:r>
      <w:r w:rsidR="00885B0A">
        <w:t xml:space="preserve">oosevelt’s “On the Adoption of </w:t>
      </w:r>
      <w:r w:rsidR="00885B0A" w:rsidRPr="00885B0A">
        <w:rPr>
          <w:i/>
        </w:rPr>
        <w:t>T</w:t>
      </w:r>
      <w:r w:rsidRPr="00885B0A">
        <w:rPr>
          <w:i/>
        </w:rPr>
        <w:t>he Universal Declaration of Human Rights</w:t>
      </w:r>
      <w:r>
        <w:t>.”</w:t>
      </w:r>
      <w:r w:rsidR="006F4F0B">
        <w:t xml:space="preserve"> </w:t>
      </w:r>
    </w:p>
    <w:p w:rsidR="000907A1" w:rsidRDefault="00BC01C1" w:rsidP="000907A1">
      <w:pPr>
        <w:pStyle w:val="SR"/>
      </w:pPr>
      <w:r>
        <w:t>See the Model Argument Delineation Tool at the end of this lesson for sample student responses.</w:t>
      </w:r>
    </w:p>
    <w:p w:rsidR="00D24711" w:rsidRDefault="000907A1" w:rsidP="00D24711">
      <w:pPr>
        <w:pStyle w:val="IN"/>
      </w:pPr>
      <w:r>
        <w:t>Remind students to maintain their Argument Delineation Tools for use on the End-of-Unit Assessment.</w:t>
      </w:r>
    </w:p>
    <w:p w:rsidR="00244183" w:rsidRDefault="00244183">
      <w:pPr>
        <w:pStyle w:val="BR"/>
      </w:pPr>
    </w:p>
    <w:p w:rsidR="008B1A8C" w:rsidRPr="00427129" w:rsidRDefault="008B1A8C" w:rsidP="008B1A8C">
      <w:pPr>
        <w:pStyle w:val="TA"/>
      </w:pPr>
      <w:r w:rsidRPr="00E51822">
        <w:t xml:space="preserve">Instruct students to </w:t>
      </w:r>
      <w:r>
        <w:t>Turn-and-Talk in pairs about</w:t>
      </w:r>
      <w:r w:rsidRPr="00E51822">
        <w:t xml:space="preserve"> </w:t>
      </w:r>
      <w:r>
        <w:t xml:space="preserve">their sentences on the biographical information they found on </w:t>
      </w:r>
      <w:proofErr w:type="spellStart"/>
      <w:r>
        <w:t>Malala</w:t>
      </w:r>
      <w:proofErr w:type="spellEnd"/>
      <w:r>
        <w:t xml:space="preserve"> </w:t>
      </w:r>
      <w:proofErr w:type="spellStart"/>
      <w:r>
        <w:t>Yousafzai</w:t>
      </w:r>
      <w:proofErr w:type="spellEnd"/>
      <w:r>
        <w:t>.</w:t>
      </w:r>
    </w:p>
    <w:p w:rsidR="008B1A8C" w:rsidRPr="008B1A8C" w:rsidRDefault="008B1A8C" w:rsidP="008B1A8C">
      <w:pPr>
        <w:pStyle w:val="SR"/>
        <w:rPr>
          <w:b/>
        </w:rPr>
      </w:pPr>
      <w:r>
        <w:t>Student responses may include:</w:t>
      </w:r>
    </w:p>
    <w:p w:rsidR="008B1A8C" w:rsidRDefault="00D714F5" w:rsidP="008B1A8C">
      <w:pPr>
        <w:pStyle w:val="SASRBullet"/>
      </w:pPr>
      <w:proofErr w:type="spellStart"/>
      <w:r>
        <w:t>Malala</w:t>
      </w:r>
      <w:proofErr w:type="spellEnd"/>
      <w:r>
        <w:t xml:space="preserve"> </w:t>
      </w:r>
      <w:proofErr w:type="spellStart"/>
      <w:r>
        <w:t>Yousafzai</w:t>
      </w:r>
      <w:proofErr w:type="spellEnd"/>
      <w:r>
        <w:t xml:space="preserve"> is a </w:t>
      </w:r>
      <w:r w:rsidR="00945AFD">
        <w:t>Pakistani</w:t>
      </w:r>
      <w:r>
        <w:t xml:space="preserve"> student and activist for education.</w:t>
      </w:r>
    </w:p>
    <w:p w:rsidR="00D714F5" w:rsidRDefault="00D714F5" w:rsidP="008B1A8C">
      <w:pPr>
        <w:pStyle w:val="SASRBullet"/>
      </w:pPr>
      <w:r>
        <w:t>Prior to the shooting, when she was 11</w:t>
      </w:r>
      <w:r w:rsidR="003B39B2">
        <w:t>–</w:t>
      </w:r>
      <w:r>
        <w:t xml:space="preserve">12, </w:t>
      </w:r>
      <w:proofErr w:type="spellStart"/>
      <w:r>
        <w:t>Yousafzai</w:t>
      </w:r>
      <w:proofErr w:type="spellEnd"/>
      <w:r>
        <w:t xml:space="preserve"> had also kept a radio blog for the BBC describing the conditions under the </w:t>
      </w:r>
      <w:r w:rsidRPr="002B3E72">
        <w:rPr>
          <w:i/>
        </w:rPr>
        <w:t>Taliban</w:t>
      </w:r>
      <w:r>
        <w:t xml:space="preserve"> and her efforts to attend school and promote education for girls.</w:t>
      </w:r>
    </w:p>
    <w:p w:rsidR="00D714F5" w:rsidRDefault="00945AFD" w:rsidP="008B1A8C">
      <w:pPr>
        <w:pStyle w:val="SASRBullet"/>
      </w:pPr>
      <w:r>
        <w:t xml:space="preserve">A member of the </w:t>
      </w:r>
      <w:r w:rsidRPr="002B3E72">
        <w:rPr>
          <w:i/>
        </w:rPr>
        <w:t>Taliban</w:t>
      </w:r>
      <w:r>
        <w:t xml:space="preserve"> who wanted to stop </w:t>
      </w:r>
      <w:proofErr w:type="spellStart"/>
      <w:r w:rsidR="00D714F5">
        <w:t>Malala</w:t>
      </w:r>
      <w:proofErr w:type="spellEnd"/>
      <w:r w:rsidR="00D714F5">
        <w:t xml:space="preserve"> </w:t>
      </w:r>
      <w:proofErr w:type="spellStart"/>
      <w:r w:rsidR="00D714F5">
        <w:t>Yousafzai</w:t>
      </w:r>
      <w:r>
        <w:t>’s</w:t>
      </w:r>
      <w:proofErr w:type="spellEnd"/>
      <w:r>
        <w:t xml:space="preserve"> activism</w:t>
      </w:r>
      <w:r w:rsidR="00D714F5">
        <w:t xml:space="preserve"> shot </w:t>
      </w:r>
      <w:r>
        <w:t xml:space="preserve">her </w:t>
      </w:r>
      <w:r w:rsidR="00D714F5">
        <w:t>in the h</w:t>
      </w:r>
      <w:r>
        <w:t>ead</w:t>
      </w:r>
      <w:r w:rsidR="00D714F5">
        <w:t>.</w:t>
      </w:r>
    </w:p>
    <w:p w:rsidR="00244183" w:rsidRDefault="00D714F5">
      <w:pPr>
        <w:pStyle w:val="SASRBullet"/>
      </w:pPr>
      <w:proofErr w:type="spellStart"/>
      <w:r>
        <w:t>Malala</w:t>
      </w:r>
      <w:proofErr w:type="spellEnd"/>
      <w:r>
        <w:t xml:space="preserve"> </w:t>
      </w:r>
      <w:proofErr w:type="spellStart"/>
      <w:r>
        <w:t>Yousafz</w:t>
      </w:r>
      <w:r w:rsidR="00945AFD">
        <w:t>a</w:t>
      </w:r>
      <w:r>
        <w:t>i</w:t>
      </w:r>
      <w:proofErr w:type="spellEnd"/>
      <w:r>
        <w:t xml:space="preserve"> gained international acclaim for her courage and her forgiveness in the aftermath of the shooting.</w:t>
      </w:r>
    </w:p>
    <w:p w:rsidR="000B2D56" w:rsidRDefault="000B2D56" w:rsidP="00CE2836">
      <w:pPr>
        <w:pStyle w:val="LearningSequenceHeader"/>
      </w:pPr>
      <w:r w:rsidRPr="000B2D56">
        <w:t xml:space="preserve">Activity </w:t>
      </w:r>
      <w:r>
        <w:t>3</w:t>
      </w:r>
      <w:r w:rsidRPr="000B2D56">
        <w:t xml:space="preserve">: </w:t>
      </w:r>
      <w:r w:rsidR="0064234F">
        <w:t>Masterful Reading</w:t>
      </w:r>
      <w:r w:rsidR="0064234F">
        <w:tab/>
        <w:t>40</w:t>
      </w:r>
      <w:r w:rsidRPr="000B2D56">
        <w:t>%</w:t>
      </w:r>
    </w:p>
    <w:p w:rsidR="00074C92" w:rsidRDefault="00074C92" w:rsidP="00074C92">
      <w:pPr>
        <w:pStyle w:val="TA"/>
      </w:pPr>
      <w:r>
        <w:t xml:space="preserve">Have students listen to a Masterful Reading of </w:t>
      </w:r>
      <w:proofErr w:type="spellStart"/>
      <w:r>
        <w:t>Malala</w:t>
      </w:r>
      <w:proofErr w:type="spellEnd"/>
      <w:r>
        <w:t xml:space="preserve"> </w:t>
      </w:r>
      <w:proofErr w:type="spellStart"/>
      <w:r>
        <w:t>Yousafzai’s</w:t>
      </w:r>
      <w:proofErr w:type="spellEnd"/>
      <w:r>
        <w:t xml:space="preserve"> “Address to the United Nations Youth Assembly,” delivered on July 12, 2013. Ask students to listen </w:t>
      </w:r>
      <w:r w:rsidR="008B649B">
        <w:t xml:space="preserve">and record their initial thoughts and reactions </w:t>
      </w:r>
      <w:r w:rsidR="00127492">
        <w:t xml:space="preserve">about </w:t>
      </w:r>
      <w:r w:rsidR="008B649B">
        <w:t>the speech</w:t>
      </w:r>
      <w:r>
        <w:t xml:space="preserve">. </w:t>
      </w:r>
    </w:p>
    <w:p w:rsidR="00707670" w:rsidRDefault="00074C92" w:rsidP="00707670">
      <w:pPr>
        <w:pStyle w:val="SA"/>
      </w:pPr>
      <w:r>
        <w:t>Students follow along, reading silently.</w:t>
      </w:r>
    </w:p>
    <w:p w:rsidR="00A213D5" w:rsidRDefault="00A213D5" w:rsidP="002B7F2E">
      <w:pPr>
        <w:pStyle w:val="IN"/>
      </w:pPr>
      <w:r>
        <w:t>If possible for the Masterful Readi</w:t>
      </w:r>
      <w:r w:rsidR="00CA2348">
        <w:t>ng, consider showing students the</w:t>
      </w:r>
      <w:r>
        <w:t xml:space="preserve"> online v</w:t>
      </w:r>
      <w:r w:rsidR="00CA2348">
        <w:t xml:space="preserve">ideo </w:t>
      </w:r>
      <w:r>
        <w:t xml:space="preserve">of </w:t>
      </w:r>
      <w:proofErr w:type="spellStart"/>
      <w:r>
        <w:t>Yousafzai</w:t>
      </w:r>
      <w:proofErr w:type="spellEnd"/>
      <w:r>
        <w:t xml:space="preserve"> delivering her speech</w:t>
      </w:r>
      <w:r w:rsidR="00CA2348">
        <w:t xml:space="preserve"> (</w:t>
      </w:r>
      <w:hyperlink r:id="rId11" w:history="1">
        <w:r w:rsidR="002B7F2E" w:rsidRPr="00E41A54">
          <w:rPr>
            <w:rStyle w:val="Hyperlink"/>
          </w:rPr>
          <w:t>http://webtv.un.org/watch/malala-yousafzai-addresses-united-nations-</w:t>
        </w:r>
        <w:r w:rsidR="002B7F2E" w:rsidRPr="00E41A54">
          <w:rPr>
            <w:rStyle w:val="Hyperlink"/>
          </w:rPr>
          <w:lastRenderedPageBreak/>
          <w:t>youth-assembly/2542094251001/</w:t>
        </w:r>
      </w:hyperlink>
      <w:r w:rsidR="00CA2348">
        <w:t>)</w:t>
      </w:r>
      <w:r w:rsidR="002B7F2E">
        <w:t xml:space="preserve">. </w:t>
      </w:r>
      <w:r w:rsidR="00CA2348">
        <w:t>The vi</w:t>
      </w:r>
      <w:r>
        <w:t>deo not only provides context for the speech but</w:t>
      </w:r>
      <w:r w:rsidR="002F155B">
        <w:t xml:space="preserve"> also allows students to hear</w:t>
      </w:r>
      <w:r>
        <w:t xml:space="preserve"> </w:t>
      </w:r>
      <w:proofErr w:type="spellStart"/>
      <w:r w:rsidR="002F155B">
        <w:t>Yousafzai’s</w:t>
      </w:r>
      <w:proofErr w:type="spellEnd"/>
      <w:r>
        <w:t xml:space="preserve"> own voice </w:t>
      </w:r>
      <w:r w:rsidR="00566F0E">
        <w:t xml:space="preserve">as well as </w:t>
      </w:r>
      <w:r>
        <w:t>the audience’s reactions.</w:t>
      </w:r>
    </w:p>
    <w:p w:rsidR="00F562F5" w:rsidRDefault="0042343B" w:rsidP="005A7863">
      <w:pPr>
        <w:pStyle w:val="TA"/>
      </w:pPr>
      <w:r>
        <w:t xml:space="preserve">Instruct students to work in pairs to share </w:t>
      </w:r>
      <w:r w:rsidR="008B649B">
        <w:t xml:space="preserve">their initial thoughts and reactions </w:t>
      </w:r>
      <w:r w:rsidR="00127492">
        <w:t>about</w:t>
      </w:r>
      <w:r w:rsidR="00AA234F">
        <w:t xml:space="preserve"> </w:t>
      </w:r>
      <w:r w:rsidR="008B649B">
        <w:t>the speech</w:t>
      </w:r>
      <w:r>
        <w:t>.</w:t>
      </w:r>
    </w:p>
    <w:p w:rsidR="00707670" w:rsidRDefault="00707670" w:rsidP="00707670">
      <w:pPr>
        <w:pStyle w:val="LearningSequenceHeader"/>
      </w:pPr>
      <w:r>
        <w:t>Activity 4</w:t>
      </w:r>
      <w:r w:rsidR="00D04066">
        <w:t>: Reading and Discussion</w:t>
      </w:r>
      <w:r w:rsidR="0064234F">
        <w:tab/>
        <w:t>30</w:t>
      </w:r>
      <w:r w:rsidRPr="00707670">
        <w:t>%</w:t>
      </w:r>
    </w:p>
    <w:p w:rsidR="002F14E7" w:rsidRDefault="002F14E7" w:rsidP="007B18BA">
      <w:pPr>
        <w:pStyle w:val="TA"/>
      </w:pPr>
      <w:r>
        <w:t>Instruct students to form pairs. Post or project each set of questions below for students to discuss.</w:t>
      </w:r>
    </w:p>
    <w:p w:rsidR="00AA234F" w:rsidRDefault="002F14E7" w:rsidP="007B18BA">
      <w:pPr>
        <w:pStyle w:val="TA"/>
      </w:pPr>
      <w:r>
        <w:t xml:space="preserve">Instruct </w:t>
      </w:r>
      <w:r w:rsidR="00EB6B9A">
        <w:t>students t</w:t>
      </w:r>
      <w:r>
        <w:t xml:space="preserve">o </w:t>
      </w:r>
      <w:r w:rsidR="00EB6B9A">
        <w:t xml:space="preserve">stop to annotate the </w:t>
      </w:r>
      <w:r w:rsidR="00463C4C">
        <w:t>speech</w:t>
      </w:r>
      <w:r w:rsidR="00EB6B9A">
        <w:t xml:space="preserve"> and take notes on the </w:t>
      </w:r>
      <w:r w:rsidR="00EB6B9A" w:rsidRPr="00EE7BB0">
        <w:t>Rhetoric</w:t>
      </w:r>
      <w:r w:rsidR="00127492">
        <w:t xml:space="preserve">al </w:t>
      </w:r>
      <w:r w:rsidR="000344B9">
        <w:t>Impact</w:t>
      </w:r>
      <w:r w:rsidR="00EB6B9A" w:rsidRPr="00EE7BB0">
        <w:t xml:space="preserve"> Tracking Tool</w:t>
      </w:r>
      <w:r w:rsidR="00EB6B9A">
        <w:t xml:space="preserve"> </w:t>
      </w:r>
      <w:r>
        <w:t xml:space="preserve">throughout the discussion, </w:t>
      </w:r>
      <w:r w:rsidR="00EB6B9A">
        <w:t xml:space="preserve">in preparation for the Quick Write assessment. </w:t>
      </w:r>
      <w:r w:rsidR="00AA234F" w:rsidRPr="002138EB">
        <w:t>R</w:t>
      </w:r>
      <w:r>
        <w:t xml:space="preserve">emind students that annotating </w:t>
      </w:r>
      <w:r w:rsidR="00AA234F" w:rsidRPr="002138EB">
        <w:t>help</w:t>
      </w:r>
      <w:r>
        <w:t>s</w:t>
      </w:r>
      <w:r w:rsidR="00AA234F" w:rsidRPr="002138EB">
        <w:t xml:space="preserve"> </w:t>
      </w:r>
      <w:proofErr w:type="gramStart"/>
      <w:r w:rsidR="00AA234F" w:rsidRPr="002138EB">
        <w:t>them</w:t>
      </w:r>
      <w:proofErr w:type="gramEnd"/>
      <w:r w:rsidR="00AA234F" w:rsidRPr="002138EB">
        <w:t xml:space="preserve"> keep track of evidence the</w:t>
      </w:r>
      <w:r w:rsidR="00E70B6D">
        <w:t>y us</w:t>
      </w:r>
      <w:r>
        <w:t>e</w:t>
      </w:r>
      <w:r w:rsidR="00E70B6D">
        <w:t xml:space="preserve"> later in the End-of</w:t>
      </w:r>
      <w:r w:rsidR="00AA234F" w:rsidRPr="002138EB">
        <w:t>-Unit and Performance Assessments, which focus on the development of central ideas.</w:t>
      </w:r>
    </w:p>
    <w:p w:rsidR="00EC6901" w:rsidRDefault="00EC6901" w:rsidP="00EC6901">
      <w:pPr>
        <w:pStyle w:val="IN"/>
      </w:pPr>
      <w:r w:rsidRPr="00EC6901">
        <w:t>This focused annotation supports students’ engagement with W.9-10.9.b, which addresses the use of textual evidence in writing.</w:t>
      </w:r>
    </w:p>
    <w:p w:rsidR="00F562F5" w:rsidRDefault="00DA04C1" w:rsidP="00F50448">
      <w:pPr>
        <w:pStyle w:val="TA"/>
      </w:pPr>
      <w:r>
        <w:t>Instruct student</w:t>
      </w:r>
      <w:r w:rsidR="002F14E7">
        <w:t xml:space="preserve"> pair</w:t>
      </w:r>
      <w:r>
        <w:t>s to read paragraphs 1–6</w:t>
      </w:r>
      <w:r w:rsidR="002F14E7">
        <w:t>,</w:t>
      </w:r>
      <w:r>
        <w:t xml:space="preserve"> </w:t>
      </w:r>
      <w:r w:rsidR="002F14E7">
        <w:t>f</w:t>
      </w:r>
      <w:r>
        <w:t>rom the greeting, “In the name of God, the Most Beneficent the Most Merciful,” to “My dreams are the same</w:t>
      </w:r>
      <w:r w:rsidR="002F14E7">
        <w:t>,</w:t>
      </w:r>
      <w:r>
        <w:t>”</w:t>
      </w:r>
      <w:r w:rsidR="002F14E7">
        <w:t xml:space="preserve"> and annotate the text for examples of rhetoric and answer the following questions and before sharing out with the class</w:t>
      </w:r>
      <w:r>
        <w:t>.</w:t>
      </w:r>
      <w:r w:rsidR="006F4F0B">
        <w:t xml:space="preserve"> </w:t>
      </w:r>
    </w:p>
    <w:p w:rsidR="00713B97" w:rsidRPr="001F6005" w:rsidRDefault="00713B97" w:rsidP="004C48D8">
      <w:pPr>
        <w:pStyle w:val="Q"/>
      </w:pPr>
      <w:r w:rsidRPr="001F6005">
        <w:t xml:space="preserve">What is the </w:t>
      </w:r>
      <w:r w:rsidR="00296364">
        <w:t>rhetorical</w:t>
      </w:r>
      <w:r w:rsidR="00296364" w:rsidRPr="001F6005">
        <w:t xml:space="preserve"> </w:t>
      </w:r>
      <w:r w:rsidRPr="001F6005">
        <w:t xml:space="preserve">impact of the thanks </w:t>
      </w:r>
      <w:proofErr w:type="spellStart"/>
      <w:r w:rsidRPr="001F6005">
        <w:t>Yousafzai</w:t>
      </w:r>
      <w:proofErr w:type="spellEnd"/>
      <w:r w:rsidRPr="001F6005">
        <w:t xml:space="preserve"> gives before beginning her speech?</w:t>
      </w:r>
    </w:p>
    <w:p w:rsidR="00FF237B" w:rsidRDefault="00FF237B" w:rsidP="00713B97">
      <w:pPr>
        <w:pStyle w:val="SR"/>
      </w:pPr>
      <w:r>
        <w:t xml:space="preserve">Student responses may include: </w:t>
      </w:r>
    </w:p>
    <w:p w:rsidR="00713B97" w:rsidRDefault="008945CD" w:rsidP="00FF237B">
      <w:pPr>
        <w:pStyle w:val="SASRBullet"/>
      </w:pPr>
      <w:r>
        <w:t>The thanks are</w:t>
      </w:r>
      <w:r w:rsidR="008B1A8C">
        <w:t xml:space="preserve"> an appeal to ethos because it </w:t>
      </w:r>
      <w:r w:rsidR="00FF237B">
        <w:t xml:space="preserve">shows </w:t>
      </w:r>
      <w:r w:rsidR="00F50448">
        <w:t xml:space="preserve">that </w:t>
      </w:r>
      <w:proofErr w:type="spellStart"/>
      <w:r w:rsidR="00FF237B">
        <w:t>Yousafzai</w:t>
      </w:r>
      <w:proofErr w:type="spellEnd"/>
      <w:r w:rsidR="00FF237B">
        <w:t xml:space="preserve"> shares similar values to those listening</w:t>
      </w:r>
      <w:r w:rsidR="008B1A8C">
        <w:t>: “</w:t>
      </w:r>
      <w:r w:rsidR="00FE6EA7">
        <w:t>[</w:t>
      </w:r>
      <w:r>
        <w:t>T</w:t>
      </w:r>
      <w:r w:rsidR="00FE6EA7">
        <w:t>]</w:t>
      </w:r>
      <w:r>
        <w:t>h</w:t>
      </w:r>
      <w:r w:rsidRPr="008945CD">
        <w:t>ank you to every person who has prayed for my fast recovery and a new life</w:t>
      </w:r>
      <w:r>
        <w:t xml:space="preserve"> </w:t>
      </w:r>
      <w:r w:rsidR="00F70CEF">
        <w:t>. . .</w:t>
      </w:r>
      <w:r>
        <w:t xml:space="preserve"> </w:t>
      </w:r>
      <w:r w:rsidRPr="008945CD">
        <w:t>I have received thousands of good wish cards and gifts from all over the world</w:t>
      </w:r>
      <w:r>
        <w:t>”</w:t>
      </w:r>
      <w:r w:rsidR="00F50448">
        <w:t xml:space="preserve"> (par. 2).</w:t>
      </w:r>
    </w:p>
    <w:p w:rsidR="00E22185" w:rsidRDefault="008945CD" w:rsidP="00FF237B">
      <w:pPr>
        <w:pStyle w:val="SASRBullet"/>
      </w:pPr>
      <w:r>
        <w:t>The thanks are an appeal to pathos because they</w:t>
      </w:r>
      <w:r w:rsidR="007D4729">
        <w:t xml:space="preserve"> include emotional phrases like “</w:t>
      </w:r>
      <w:r w:rsidR="007D4729" w:rsidRPr="007D4729">
        <w:t>I cannot believe how</w:t>
      </w:r>
      <w:r w:rsidR="007D4729">
        <w:t xml:space="preserve"> much love people have shown me” and “</w:t>
      </w:r>
      <w:r w:rsidR="007D4729" w:rsidRPr="007D4729">
        <w:t>Thank you to the children whose innocent words encouraged me</w:t>
      </w:r>
      <w:r w:rsidR="007D4729">
        <w:t>”</w:t>
      </w:r>
      <w:r w:rsidR="00954C54">
        <w:t xml:space="preserve"> (par. </w:t>
      </w:r>
      <w:r w:rsidR="00FE6EA7">
        <w:t>2</w:t>
      </w:r>
      <w:r w:rsidR="00954C54">
        <w:t>).</w:t>
      </w:r>
    </w:p>
    <w:p w:rsidR="00E22185" w:rsidRDefault="00E22185" w:rsidP="00FF237B">
      <w:pPr>
        <w:pStyle w:val="SASRBullet"/>
      </w:pPr>
      <w:r>
        <w:t>The repetition of “thank you” emphasizes that she has a lot of support and gratitude, making her appeal to ethos stronger.</w:t>
      </w:r>
    </w:p>
    <w:p w:rsidR="008945CD" w:rsidRPr="001F6005" w:rsidRDefault="00E22185" w:rsidP="00FF237B">
      <w:pPr>
        <w:pStyle w:val="SASRBullet"/>
      </w:pPr>
      <w:r>
        <w:t>The thanks given to important people (</w:t>
      </w:r>
      <w:r w:rsidR="00945AFD" w:rsidRPr="00E22185">
        <w:t>Mr.</w:t>
      </w:r>
      <w:r w:rsidRPr="00E22185">
        <w:t xml:space="preserve"> Ban Ki-moon</w:t>
      </w:r>
      <w:r w:rsidR="00F911CE">
        <w:t>,</w:t>
      </w:r>
      <w:r w:rsidRPr="00E22185">
        <w:t xml:space="preserve"> the </w:t>
      </w:r>
      <w:r w:rsidR="00F911CE">
        <w:t xml:space="preserve">UN </w:t>
      </w:r>
      <w:r w:rsidRPr="00E22185">
        <w:t>Secretary-General</w:t>
      </w:r>
      <w:r>
        <w:t xml:space="preserve"> and </w:t>
      </w:r>
      <w:r w:rsidR="00F911CE">
        <w:t>Mr. Gordon Brown, the UN Special Envoy</w:t>
      </w:r>
      <w:r>
        <w:t xml:space="preserve">) show that </w:t>
      </w:r>
      <w:proofErr w:type="spellStart"/>
      <w:r>
        <w:t>Yousafzai</w:t>
      </w:r>
      <w:proofErr w:type="spellEnd"/>
      <w:r>
        <w:t xml:space="preserve"> is connected to powerful people, giving her words more weight.</w:t>
      </w:r>
      <w:r w:rsidR="008945CD">
        <w:t xml:space="preserve"> </w:t>
      </w:r>
    </w:p>
    <w:p w:rsidR="00713B97" w:rsidRPr="001F6005" w:rsidRDefault="006B052F" w:rsidP="00713B97">
      <w:pPr>
        <w:pStyle w:val="IN"/>
      </w:pPr>
      <w:r>
        <w:t xml:space="preserve">If necessary, remind students </w:t>
      </w:r>
      <w:r w:rsidR="005C4B57">
        <w:t xml:space="preserve">to consult their Rhetorical </w:t>
      </w:r>
      <w:r w:rsidR="000344B9">
        <w:t>Impact</w:t>
      </w:r>
      <w:r w:rsidR="005C4B57">
        <w:t xml:space="preserve"> Tracking Tools from 10.2.1</w:t>
      </w:r>
      <w:r w:rsidR="00F25C9A">
        <w:t>, 10.2.2,</w:t>
      </w:r>
      <w:r w:rsidR="005C4B57">
        <w:t xml:space="preserve"> and 10.2.3 for possible rhetorical devices and definitions</w:t>
      </w:r>
      <w:r w:rsidR="00DD1CDD" w:rsidRPr="001F6005">
        <w:t>.</w:t>
      </w:r>
    </w:p>
    <w:p w:rsidR="00707670" w:rsidRDefault="004C48D8" w:rsidP="004C48D8">
      <w:pPr>
        <w:pStyle w:val="Q"/>
      </w:pPr>
      <w:r>
        <w:t xml:space="preserve">In paragraph 5, what </w:t>
      </w:r>
      <w:r w:rsidR="000647DB">
        <w:t xml:space="preserve">are </w:t>
      </w:r>
      <w:proofErr w:type="spellStart"/>
      <w:r w:rsidR="000647DB">
        <w:t>Malala</w:t>
      </w:r>
      <w:proofErr w:type="spellEnd"/>
      <w:r w:rsidR="000647DB">
        <w:t xml:space="preserve"> </w:t>
      </w:r>
      <w:proofErr w:type="spellStart"/>
      <w:r w:rsidR="000647DB">
        <w:t>Yousafzai’s</w:t>
      </w:r>
      <w:proofErr w:type="spellEnd"/>
      <w:r w:rsidR="000647DB">
        <w:t xml:space="preserve"> stated purposes</w:t>
      </w:r>
      <w:r>
        <w:t xml:space="preserve"> for addressing the United Nations Youth Assembly?</w:t>
      </w:r>
    </w:p>
    <w:p w:rsidR="0060179C" w:rsidRDefault="0060179C" w:rsidP="004C48D8">
      <w:pPr>
        <w:pStyle w:val="SR"/>
      </w:pPr>
      <w:r>
        <w:lastRenderedPageBreak/>
        <w:t xml:space="preserve">Student responses </w:t>
      </w:r>
      <w:r w:rsidR="001F6005">
        <w:t>may</w:t>
      </w:r>
      <w:r>
        <w:t xml:space="preserve"> include</w:t>
      </w:r>
      <w:r w:rsidR="00F911CE">
        <w:t>:</w:t>
      </w:r>
    </w:p>
    <w:p w:rsidR="00DD1CDD" w:rsidRDefault="004C48D8" w:rsidP="0060179C">
      <w:pPr>
        <w:pStyle w:val="SASRBullet"/>
      </w:pPr>
      <w:proofErr w:type="spellStart"/>
      <w:r>
        <w:t>Yousafzai</w:t>
      </w:r>
      <w:proofErr w:type="spellEnd"/>
      <w:r>
        <w:t xml:space="preserve"> says she is speaking</w:t>
      </w:r>
      <w:r w:rsidR="00DD1CDD">
        <w:t xml:space="preserve"> not for herself, but for “all girls and boys”</w:t>
      </w:r>
      <w:r w:rsidR="00D63BE0">
        <w:t xml:space="preserve"> (par. 5).</w:t>
      </w:r>
      <w:r w:rsidR="00F25C9A">
        <w:t xml:space="preserve"> </w:t>
      </w:r>
    </w:p>
    <w:p w:rsidR="00F25C9A" w:rsidRDefault="00DD1CDD">
      <w:pPr>
        <w:pStyle w:val="SASRBullet"/>
      </w:pPr>
      <w:r>
        <w:t>She says she is speaking “so that those without a voice can be heard”</w:t>
      </w:r>
      <w:r w:rsidR="00D63BE0">
        <w:t xml:space="preserve"> (par. 5).</w:t>
      </w:r>
      <w:r w:rsidR="00F25C9A">
        <w:t xml:space="preserve"> </w:t>
      </w:r>
    </w:p>
    <w:p w:rsidR="00244183" w:rsidRDefault="00DD1CDD">
      <w:pPr>
        <w:pStyle w:val="SASRBullet"/>
      </w:pPr>
      <w:r>
        <w:t>She expands the voiceless from “all girls and boys” to all “those who have fought for their rights”</w:t>
      </w:r>
      <w:r w:rsidR="00D63BE0">
        <w:t xml:space="preserve"> (par. 5).</w:t>
      </w:r>
    </w:p>
    <w:p w:rsidR="004B161C" w:rsidRDefault="004B161C" w:rsidP="004B161C">
      <w:pPr>
        <w:pStyle w:val="Q"/>
      </w:pPr>
      <w:r>
        <w:t xml:space="preserve">What facts does </w:t>
      </w:r>
      <w:proofErr w:type="spellStart"/>
      <w:r>
        <w:t>Yousafzai</w:t>
      </w:r>
      <w:proofErr w:type="spellEnd"/>
      <w:r>
        <w:t xml:space="preserve"> provide about her experience in paragraph 6?</w:t>
      </w:r>
    </w:p>
    <w:p w:rsidR="004B161C" w:rsidRDefault="004B161C" w:rsidP="004B161C">
      <w:pPr>
        <w:pStyle w:val="SR"/>
      </w:pPr>
      <w:r>
        <w:t>Student responses may include:</w:t>
      </w:r>
    </w:p>
    <w:p w:rsidR="004B161C" w:rsidRDefault="00693C63" w:rsidP="00693C63">
      <w:pPr>
        <w:pStyle w:val="SASRBullet"/>
      </w:pPr>
      <w:r>
        <w:t>She was shot on October 9, 2012.</w:t>
      </w:r>
    </w:p>
    <w:p w:rsidR="00693C63" w:rsidRDefault="00693C63" w:rsidP="00693C63">
      <w:pPr>
        <w:pStyle w:val="SASRBullet"/>
      </w:pPr>
      <w:r>
        <w:t xml:space="preserve">She was shot </w:t>
      </w:r>
      <w:r w:rsidR="00F25C9A">
        <w:t>“</w:t>
      </w:r>
      <w:r>
        <w:t xml:space="preserve">on the left side of </w:t>
      </w:r>
      <w:r w:rsidR="00F25C9A">
        <w:t>[</w:t>
      </w:r>
      <w:r>
        <w:t>her</w:t>
      </w:r>
      <w:r w:rsidR="00F25C9A">
        <w:t>]</w:t>
      </w:r>
      <w:r>
        <w:t xml:space="preserve"> forehead</w:t>
      </w:r>
      <w:r w:rsidR="00F25C9A">
        <w:t>” (par. 6)</w:t>
      </w:r>
      <w:r>
        <w:t>.</w:t>
      </w:r>
    </w:p>
    <w:p w:rsidR="00693C63" w:rsidRDefault="00693C63" w:rsidP="00693C63">
      <w:pPr>
        <w:pStyle w:val="SASRBullet"/>
      </w:pPr>
      <w:r>
        <w:t xml:space="preserve">The </w:t>
      </w:r>
      <w:r w:rsidRPr="002B3E72">
        <w:rPr>
          <w:i/>
        </w:rPr>
        <w:t>Taliban</w:t>
      </w:r>
      <w:r>
        <w:t xml:space="preserve"> shot her.</w:t>
      </w:r>
    </w:p>
    <w:p w:rsidR="00693C63" w:rsidRDefault="00693C63" w:rsidP="00693C63">
      <w:pPr>
        <w:pStyle w:val="SASRBullet"/>
      </w:pPr>
      <w:r>
        <w:t xml:space="preserve">The </w:t>
      </w:r>
      <w:r w:rsidRPr="002B3E72">
        <w:rPr>
          <w:i/>
        </w:rPr>
        <w:t>Taliban</w:t>
      </w:r>
      <w:r>
        <w:t xml:space="preserve"> also shot her friends.</w:t>
      </w:r>
    </w:p>
    <w:p w:rsidR="00DE08E6" w:rsidRDefault="00DE08E6" w:rsidP="00DE08E6">
      <w:pPr>
        <w:pStyle w:val="TA"/>
      </w:pPr>
      <w:r>
        <w:t xml:space="preserve">Provide students with the following definition: </w:t>
      </w:r>
      <w:r w:rsidR="00F911CE">
        <w:t>the</w:t>
      </w:r>
      <w:r w:rsidRPr="00693C63">
        <w:rPr>
          <w:i/>
        </w:rPr>
        <w:t xml:space="preserve"> Taliban</w:t>
      </w:r>
      <w:r>
        <w:t xml:space="preserve"> is “a Muslim fundamentalist group that originated in Afghanistan but is active in other countries as well.” </w:t>
      </w:r>
    </w:p>
    <w:p w:rsidR="00DE08E6" w:rsidRDefault="00DE08E6" w:rsidP="00DE08E6">
      <w:pPr>
        <w:pStyle w:val="SA"/>
      </w:pPr>
      <w:r>
        <w:t xml:space="preserve">Students write the definition of </w:t>
      </w:r>
      <w:r>
        <w:rPr>
          <w:i/>
        </w:rPr>
        <w:t>Taliban</w:t>
      </w:r>
      <w:r>
        <w:t xml:space="preserve"> on their copy of the text or in a vocabulary journal.</w:t>
      </w:r>
    </w:p>
    <w:p w:rsidR="00693C63" w:rsidRPr="003B39B2" w:rsidRDefault="003B39B2" w:rsidP="00693C63">
      <w:pPr>
        <w:pStyle w:val="Q"/>
      </w:pPr>
      <w:r w:rsidRPr="003B39B2">
        <w:t xml:space="preserve">According to paragraph 6, what did the </w:t>
      </w:r>
      <w:r w:rsidRPr="00C14B28">
        <w:rPr>
          <w:i/>
        </w:rPr>
        <w:t>Taliban</w:t>
      </w:r>
      <w:r w:rsidRPr="003B39B2">
        <w:t xml:space="preserve"> hope to achieve by shooting </w:t>
      </w:r>
      <w:proofErr w:type="spellStart"/>
      <w:r w:rsidRPr="003B39B2">
        <w:t>Yousafzai</w:t>
      </w:r>
      <w:proofErr w:type="spellEnd"/>
      <w:r w:rsidRPr="003B39B2">
        <w:t>?</w:t>
      </w:r>
    </w:p>
    <w:p w:rsidR="00693C63" w:rsidRPr="003B39B2" w:rsidRDefault="00693C63" w:rsidP="00693C63">
      <w:pPr>
        <w:pStyle w:val="SR"/>
      </w:pPr>
      <w:r w:rsidRPr="003B39B2">
        <w:t>Student responses may include:</w:t>
      </w:r>
    </w:p>
    <w:p w:rsidR="00693C63" w:rsidRPr="003B39B2" w:rsidRDefault="00693C63" w:rsidP="00693C63">
      <w:pPr>
        <w:pStyle w:val="SASRBullet"/>
      </w:pPr>
      <w:r w:rsidRPr="003B39B2">
        <w:t xml:space="preserve">The </w:t>
      </w:r>
      <w:r w:rsidRPr="00C14B28">
        <w:rPr>
          <w:i/>
        </w:rPr>
        <w:t>Taliban</w:t>
      </w:r>
      <w:r w:rsidRPr="003B39B2">
        <w:t xml:space="preserve"> wanted to </w:t>
      </w:r>
      <w:r w:rsidR="00CC3C0C" w:rsidRPr="003B39B2">
        <w:t>“</w:t>
      </w:r>
      <w:r w:rsidRPr="003B39B2">
        <w:t>silence</w:t>
      </w:r>
      <w:r w:rsidR="00CC3C0C" w:rsidRPr="003B39B2">
        <w:t>”</w:t>
      </w:r>
      <w:r w:rsidRPr="003B39B2">
        <w:t xml:space="preserve"> the children</w:t>
      </w:r>
      <w:r w:rsidR="00D63BE0">
        <w:t xml:space="preserve"> (par. 6)</w:t>
      </w:r>
      <w:r w:rsidRPr="003B39B2">
        <w:t>.</w:t>
      </w:r>
    </w:p>
    <w:p w:rsidR="00F8513C" w:rsidRDefault="00693C63" w:rsidP="00CC3C0C">
      <w:pPr>
        <w:pStyle w:val="SASRBullet"/>
      </w:pPr>
      <w:r w:rsidRPr="003B39B2">
        <w:t xml:space="preserve">The </w:t>
      </w:r>
      <w:r w:rsidRPr="00C14B28">
        <w:rPr>
          <w:i/>
        </w:rPr>
        <w:t>Taliban</w:t>
      </w:r>
      <w:r w:rsidRPr="003B39B2">
        <w:t xml:space="preserve"> wanted to change the </w:t>
      </w:r>
      <w:r w:rsidR="00CC3C0C" w:rsidRPr="003B39B2">
        <w:t>“</w:t>
      </w:r>
      <w:r w:rsidRPr="003B39B2">
        <w:t>aims</w:t>
      </w:r>
      <w:r w:rsidR="00CC3C0C" w:rsidRPr="003B39B2">
        <w:t>”</w:t>
      </w:r>
      <w:r w:rsidRPr="003B39B2">
        <w:t xml:space="preserve"> and </w:t>
      </w:r>
      <w:r w:rsidR="00CC3C0C" w:rsidRPr="003B39B2">
        <w:t>“</w:t>
      </w:r>
      <w:r w:rsidRPr="003B39B2">
        <w:t>ambitions</w:t>
      </w:r>
      <w:r w:rsidR="00CC3C0C" w:rsidRPr="003B39B2">
        <w:t>”</w:t>
      </w:r>
      <w:r w:rsidR="002F155B" w:rsidRPr="003B39B2">
        <w:t xml:space="preserve"> of children</w:t>
      </w:r>
      <w:r w:rsidR="00D63BE0">
        <w:t xml:space="preserve"> (par. 6)</w:t>
      </w:r>
      <w:r w:rsidR="00F25C9A">
        <w:t>.</w:t>
      </w:r>
    </w:p>
    <w:p w:rsidR="00EC6901" w:rsidRDefault="00F8513C" w:rsidP="00EC6901">
      <w:pPr>
        <w:pStyle w:val="Q"/>
      </w:pPr>
      <w:r>
        <w:t xml:space="preserve">Based on your response to the last question, what can you infer about </w:t>
      </w:r>
      <w:proofErr w:type="spellStart"/>
      <w:r>
        <w:t>Yousafzai’s</w:t>
      </w:r>
      <w:proofErr w:type="spellEnd"/>
      <w:r>
        <w:t xml:space="preserve"> </w:t>
      </w:r>
      <w:r w:rsidR="00D450C7">
        <w:t xml:space="preserve">actions </w:t>
      </w:r>
      <w:r>
        <w:t>before the shooting?</w:t>
      </w:r>
    </w:p>
    <w:p w:rsidR="00F8513C" w:rsidRDefault="00F8513C" w:rsidP="00F8513C">
      <w:pPr>
        <w:pStyle w:val="SR"/>
      </w:pPr>
      <w:r>
        <w:t>Student responses may include:</w:t>
      </w:r>
    </w:p>
    <w:p w:rsidR="00EC6901" w:rsidRDefault="00F8513C" w:rsidP="00EC6901">
      <w:pPr>
        <w:pStyle w:val="SASRBullet"/>
      </w:pPr>
      <w:proofErr w:type="spellStart"/>
      <w:r>
        <w:t>Yousafzai</w:t>
      </w:r>
      <w:proofErr w:type="spellEnd"/>
      <w:r>
        <w:t xml:space="preserve"> was one of “the hundreds of </w:t>
      </w:r>
      <w:r w:rsidR="00FE6EA7">
        <w:t>H</w:t>
      </w:r>
      <w:r>
        <w:t>uman rights activists and social workers who are not only speaking for human rights, but who are struggling to achieve their goals of education, peace, and equality” (par. 4)</w:t>
      </w:r>
      <w:r w:rsidR="00F25C9A">
        <w:t>.</w:t>
      </w:r>
    </w:p>
    <w:p w:rsidR="00F562F5" w:rsidRDefault="00F8513C">
      <w:pPr>
        <w:pStyle w:val="SASRBullet"/>
      </w:pPr>
      <w:proofErr w:type="spellStart"/>
      <w:r>
        <w:t>Yousafzai</w:t>
      </w:r>
      <w:proofErr w:type="spellEnd"/>
      <w:r>
        <w:t xml:space="preserve"> was already working to “raise up [her] voice” (par. 5)</w:t>
      </w:r>
      <w:r w:rsidR="00F25C9A">
        <w:t>.</w:t>
      </w:r>
    </w:p>
    <w:p w:rsidR="00F562F5" w:rsidRDefault="00F8513C">
      <w:pPr>
        <w:pStyle w:val="SASRBullet"/>
      </w:pPr>
      <w:proofErr w:type="spellStart"/>
      <w:r>
        <w:t>Yousafzai</w:t>
      </w:r>
      <w:proofErr w:type="spellEnd"/>
      <w:r>
        <w:t xml:space="preserve"> had “ambitions </w:t>
      </w:r>
      <w:r w:rsidR="00F70CEF">
        <w:t>. . .</w:t>
      </w:r>
      <w:r>
        <w:t xml:space="preserve"> </w:t>
      </w:r>
      <w:r w:rsidR="00945AFD">
        <w:t xml:space="preserve">hopes </w:t>
      </w:r>
      <w:r w:rsidR="00F70CEF">
        <w:t>. . .</w:t>
      </w:r>
      <w:r>
        <w:t xml:space="preserve"> [and] dreams” that the </w:t>
      </w:r>
      <w:r w:rsidRPr="002B3E72">
        <w:rPr>
          <w:i/>
        </w:rPr>
        <w:t xml:space="preserve">Taliban </w:t>
      </w:r>
      <w:r>
        <w:t>did not support (par. 6)</w:t>
      </w:r>
      <w:r w:rsidR="00F25C9A">
        <w:t>.</w:t>
      </w:r>
    </w:p>
    <w:p w:rsidR="00D714F5" w:rsidRDefault="00D714F5" w:rsidP="00D714F5">
      <w:pPr>
        <w:pStyle w:val="Q"/>
      </w:pPr>
      <w:r>
        <w:t xml:space="preserve">What did the </w:t>
      </w:r>
      <w:r w:rsidRPr="00C14B28">
        <w:rPr>
          <w:i/>
        </w:rPr>
        <w:t>Taliban</w:t>
      </w:r>
      <w:r>
        <w:t>’s shooting actually accomplish?</w:t>
      </w:r>
    </w:p>
    <w:p w:rsidR="00FD0379" w:rsidRDefault="00D714F5">
      <w:pPr>
        <w:pStyle w:val="SR"/>
      </w:pPr>
      <w:r>
        <w:t>Student responses may include:</w:t>
      </w:r>
    </w:p>
    <w:p w:rsidR="00EC6901" w:rsidRDefault="00D714F5" w:rsidP="00EC6901">
      <w:pPr>
        <w:pStyle w:val="SASRBullet"/>
      </w:pPr>
      <w:r>
        <w:t xml:space="preserve">More people joined </w:t>
      </w:r>
      <w:proofErr w:type="spellStart"/>
      <w:r>
        <w:t>Yousafzai’s</w:t>
      </w:r>
      <w:proofErr w:type="spellEnd"/>
      <w:r>
        <w:t xml:space="preserve"> cause; she </w:t>
      </w:r>
      <w:r w:rsidR="00945AFD">
        <w:t>says</w:t>
      </w:r>
      <w:r>
        <w:t xml:space="preserve"> “thousands of voices” came “out of that silence”</w:t>
      </w:r>
      <w:r w:rsidR="005B4A26">
        <w:t xml:space="preserve"> (par. 6).</w:t>
      </w:r>
    </w:p>
    <w:p w:rsidR="00FD0379" w:rsidRDefault="00937C9E">
      <w:pPr>
        <w:pStyle w:val="SASRBullet"/>
      </w:pPr>
      <w:r>
        <w:lastRenderedPageBreak/>
        <w:t xml:space="preserve">The </w:t>
      </w:r>
      <w:r w:rsidRPr="00C14B28">
        <w:rPr>
          <w:i/>
        </w:rPr>
        <w:t>Taliban</w:t>
      </w:r>
      <w:r>
        <w:t xml:space="preserve"> </w:t>
      </w:r>
      <w:r w:rsidR="00D450C7">
        <w:t>failed</w:t>
      </w:r>
      <w:r>
        <w:t xml:space="preserve"> to change the “a</w:t>
      </w:r>
      <w:r w:rsidR="00FE6EA7">
        <w:t>im</w:t>
      </w:r>
      <w:r>
        <w:t>s” and “am</w:t>
      </w:r>
      <w:r w:rsidR="00FE6EA7">
        <w:t>bition</w:t>
      </w:r>
      <w:r>
        <w:t xml:space="preserve">s” of </w:t>
      </w:r>
      <w:proofErr w:type="spellStart"/>
      <w:r>
        <w:t>Yousafzai</w:t>
      </w:r>
      <w:proofErr w:type="spellEnd"/>
      <w:r>
        <w:t xml:space="preserve"> and her coworkers. </w:t>
      </w:r>
      <w:proofErr w:type="spellStart"/>
      <w:r>
        <w:t>Yousafzai</w:t>
      </w:r>
      <w:proofErr w:type="spellEnd"/>
      <w:r>
        <w:t xml:space="preserve"> says she is “the same </w:t>
      </w:r>
      <w:proofErr w:type="spellStart"/>
      <w:r>
        <w:t>Malala</w:t>
      </w:r>
      <w:proofErr w:type="spellEnd"/>
      <w:r>
        <w:t>” with the same “ambitions,” “hopes,” and “dreams”</w:t>
      </w:r>
      <w:r w:rsidR="005B4A26">
        <w:t xml:space="preserve"> (par. 6).</w:t>
      </w:r>
    </w:p>
    <w:p w:rsidR="00FD0379" w:rsidRDefault="00937C9E">
      <w:pPr>
        <w:pStyle w:val="SASRBullet"/>
      </w:pPr>
      <w:r>
        <w:t xml:space="preserve">Instead of causing </w:t>
      </w:r>
      <w:proofErr w:type="spellStart"/>
      <w:r>
        <w:t>Yousafzai</w:t>
      </w:r>
      <w:proofErr w:type="spellEnd"/>
      <w:r>
        <w:t xml:space="preserve"> and her coworkers to become silent and afraid, the </w:t>
      </w:r>
      <w:r w:rsidRPr="00C14B28">
        <w:rPr>
          <w:i/>
        </w:rPr>
        <w:t>Taliban</w:t>
      </w:r>
      <w:r>
        <w:t xml:space="preserve">’s shooting made them more determined. </w:t>
      </w:r>
      <w:proofErr w:type="spellStart"/>
      <w:r>
        <w:t>Yousafzai</w:t>
      </w:r>
      <w:proofErr w:type="spellEnd"/>
      <w:r>
        <w:t xml:space="preserve"> says, “Weakness, fear and hopelessness died. Strength power and courage was</w:t>
      </w:r>
      <w:r w:rsidR="00FE6EA7">
        <w:t xml:space="preserve"> </w:t>
      </w:r>
      <w:r>
        <w:t>born”</w:t>
      </w:r>
      <w:r w:rsidR="005B4A26">
        <w:t xml:space="preserve"> (par. 6).</w:t>
      </w:r>
    </w:p>
    <w:p w:rsidR="00FD0379" w:rsidRDefault="00403F69">
      <w:pPr>
        <w:pStyle w:val="IN"/>
      </w:pPr>
      <w:r>
        <w:rPr>
          <w:b/>
        </w:rPr>
        <w:t xml:space="preserve">Differentiation Consideration: </w:t>
      </w:r>
      <w:r w:rsidR="00937C9E">
        <w:t>Consider encouraging students to make inferences by asking the following question:</w:t>
      </w:r>
    </w:p>
    <w:p w:rsidR="00FD0379" w:rsidRPr="00D8705C" w:rsidRDefault="00EC178A">
      <w:pPr>
        <w:pStyle w:val="Q"/>
        <w:ind w:left="360"/>
        <w:rPr>
          <w:color w:val="4F81BD" w:themeColor="accent1"/>
        </w:rPr>
      </w:pPr>
      <w:r w:rsidRPr="00D8705C">
        <w:rPr>
          <w:color w:val="4F81BD" w:themeColor="accent1"/>
        </w:rPr>
        <w:t xml:space="preserve">What inference can listeners make about </w:t>
      </w:r>
      <w:proofErr w:type="spellStart"/>
      <w:r w:rsidRPr="00D8705C">
        <w:rPr>
          <w:color w:val="4F81BD" w:themeColor="accent1"/>
        </w:rPr>
        <w:t>Yousafzai’s</w:t>
      </w:r>
      <w:proofErr w:type="spellEnd"/>
      <w:r w:rsidRPr="00D8705C">
        <w:rPr>
          <w:color w:val="4F81BD" w:themeColor="accent1"/>
        </w:rPr>
        <w:t xml:space="preserve"> actions from the fact that the </w:t>
      </w:r>
      <w:r w:rsidRPr="00C14B28">
        <w:rPr>
          <w:i/>
          <w:color w:val="4F81BD" w:themeColor="accent1"/>
        </w:rPr>
        <w:t>Taliban</w:t>
      </w:r>
      <w:r w:rsidRPr="00D8705C">
        <w:rPr>
          <w:color w:val="4F81BD" w:themeColor="accent1"/>
        </w:rPr>
        <w:t xml:space="preserve"> hoped</w:t>
      </w:r>
      <w:r w:rsidR="001D3F3A" w:rsidRPr="00D8705C">
        <w:rPr>
          <w:color w:val="4F81BD" w:themeColor="accent1"/>
        </w:rPr>
        <w:t xml:space="preserve"> </w:t>
      </w:r>
      <w:r w:rsidRPr="00D8705C">
        <w:rPr>
          <w:color w:val="4F81BD" w:themeColor="accent1"/>
        </w:rPr>
        <w:t>to “silence” her and change her “aims” and “ambitions”?</w:t>
      </w:r>
    </w:p>
    <w:p w:rsidR="0055118D" w:rsidRPr="00D8705C" w:rsidRDefault="00EC178A" w:rsidP="00937C9E">
      <w:pPr>
        <w:pStyle w:val="SR"/>
        <w:rPr>
          <w:color w:val="4F81BD" w:themeColor="accent1"/>
        </w:rPr>
      </w:pPr>
      <w:r w:rsidRPr="00D8705C">
        <w:rPr>
          <w:color w:val="4F81BD" w:themeColor="accent1"/>
        </w:rPr>
        <w:t>Student responses may include:</w:t>
      </w:r>
    </w:p>
    <w:p w:rsidR="00CC3C0C" w:rsidRPr="00D8705C" w:rsidRDefault="00EC178A" w:rsidP="004C56FE">
      <w:pPr>
        <w:pStyle w:val="SASRBullet"/>
        <w:rPr>
          <w:color w:val="4F81BD" w:themeColor="accent1"/>
        </w:rPr>
      </w:pPr>
      <w:proofErr w:type="spellStart"/>
      <w:r w:rsidRPr="00D8705C">
        <w:rPr>
          <w:color w:val="4F81BD" w:themeColor="accent1"/>
        </w:rPr>
        <w:t>Yousafzai</w:t>
      </w:r>
      <w:proofErr w:type="spellEnd"/>
      <w:r w:rsidRPr="00D8705C">
        <w:rPr>
          <w:color w:val="4F81BD" w:themeColor="accent1"/>
        </w:rPr>
        <w:t xml:space="preserve"> must have been speaking out against the </w:t>
      </w:r>
      <w:r w:rsidRPr="00C14B28">
        <w:rPr>
          <w:i/>
          <w:color w:val="4F81BD" w:themeColor="accent1"/>
        </w:rPr>
        <w:t>Taliban</w:t>
      </w:r>
      <w:r w:rsidRPr="00D8705C">
        <w:rPr>
          <w:color w:val="4F81BD" w:themeColor="accent1"/>
        </w:rPr>
        <w:t>.</w:t>
      </w:r>
    </w:p>
    <w:p w:rsidR="00D714F5" w:rsidRPr="00D8705C" w:rsidRDefault="00EC178A" w:rsidP="004C56FE">
      <w:pPr>
        <w:pStyle w:val="SASRBullet"/>
        <w:rPr>
          <w:color w:val="4F81BD" w:themeColor="accent1"/>
        </w:rPr>
      </w:pPr>
      <w:proofErr w:type="spellStart"/>
      <w:r w:rsidRPr="00D8705C">
        <w:rPr>
          <w:color w:val="4F81BD" w:themeColor="accent1"/>
        </w:rPr>
        <w:t>Yousafzai’s</w:t>
      </w:r>
      <w:proofErr w:type="spellEnd"/>
      <w:r w:rsidRPr="00D8705C">
        <w:rPr>
          <w:color w:val="4F81BD" w:themeColor="accent1"/>
        </w:rPr>
        <w:t xml:space="preserve"> “aims” and “ambitions” must have been against the </w:t>
      </w:r>
      <w:r w:rsidRPr="00C14B28">
        <w:rPr>
          <w:i/>
          <w:color w:val="4F81BD" w:themeColor="accent1"/>
        </w:rPr>
        <w:t>Taliban</w:t>
      </w:r>
      <w:r w:rsidRPr="00D8705C">
        <w:rPr>
          <w:color w:val="4F81BD" w:themeColor="accent1"/>
        </w:rPr>
        <w:t>’s wishes.</w:t>
      </w:r>
    </w:p>
    <w:p w:rsidR="004237EB" w:rsidRDefault="00F13FA9" w:rsidP="004237EB">
      <w:pPr>
        <w:pStyle w:val="Q"/>
      </w:pPr>
      <w:r>
        <w:t>What rhetoric</w:t>
      </w:r>
      <w:r w:rsidR="00937C9E">
        <w:t xml:space="preserve">al devices does </w:t>
      </w:r>
      <w:proofErr w:type="spellStart"/>
      <w:r w:rsidR="00937C9E">
        <w:t>Yousafzai</w:t>
      </w:r>
      <w:proofErr w:type="spellEnd"/>
      <w:r w:rsidR="00937C9E">
        <w:t xml:space="preserve"> use in</w:t>
      </w:r>
      <w:r w:rsidR="004237EB">
        <w:t xml:space="preserve"> paragraph 6?</w:t>
      </w:r>
      <w:r w:rsidR="005C4B57">
        <w:t xml:space="preserve"> What is the impact of these rhetorical devices?</w:t>
      </w:r>
    </w:p>
    <w:p w:rsidR="004237EB" w:rsidRDefault="004237EB" w:rsidP="004237EB">
      <w:pPr>
        <w:pStyle w:val="SR"/>
      </w:pPr>
      <w:r>
        <w:t>Student responses may include:</w:t>
      </w:r>
    </w:p>
    <w:p w:rsidR="00AC2E2B" w:rsidRDefault="00AC2E2B" w:rsidP="004237EB">
      <w:pPr>
        <w:pStyle w:val="SASRBullet"/>
      </w:pPr>
      <w:proofErr w:type="spellStart"/>
      <w:r>
        <w:t>Yousafzai</w:t>
      </w:r>
      <w:r w:rsidR="00937C9E">
        <w:t>’s</w:t>
      </w:r>
      <w:proofErr w:type="spellEnd"/>
      <w:r>
        <w:t xml:space="preserve"> </w:t>
      </w:r>
      <w:r w:rsidR="00937C9E">
        <w:t xml:space="preserve">appeal to ethos by </w:t>
      </w:r>
      <w:r w:rsidR="00F8513C">
        <w:t>showing</w:t>
      </w:r>
      <w:r>
        <w:t xml:space="preserve"> her</w:t>
      </w:r>
      <w:r w:rsidR="00341D9C">
        <w:t xml:space="preserve"> “</w:t>
      </w:r>
      <w:r w:rsidR="00FE6EA7">
        <w:t>[</w:t>
      </w:r>
      <w:r w:rsidR="00341D9C">
        <w:t>s</w:t>
      </w:r>
      <w:r w:rsidR="00FE6EA7">
        <w:t>]</w:t>
      </w:r>
      <w:proofErr w:type="spellStart"/>
      <w:r w:rsidR="00341D9C">
        <w:t>trength</w:t>
      </w:r>
      <w:proofErr w:type="spellEnd"/>
      <w:r w:rsidR="00341D9C">
        <w:t xml:space="preserve">, power and courage” </w:t>
      </w:r>
      <w:r w:rsidR="003B6128">
        <w:t xml:space="preserve">(par. 6) </w:t>
      </w:r>
      <w:r w:rsidR="00341D9C">
        <w:t>in the face of violence</w:t>
      </w:r>
      <w:r w:rsidR="00937C9E">
        <w:t xml:space="preserve"> encourages</w:t>
      </w:r>
      <w:r w:rsidR="00341D9C">
        <w:t xml:space="preserve"> </w:t>
      </w:r>
      <w:r w:rsidR="00937C9E">
        <w:t xml:space="preserve">her listeners to trust her as someone who knows first-hand what it is like to struggle to get an education </w:t>
      </w:r>
      <w:r w:rsidR="00341D9C">
        <w:t>despite grave threats</w:t>
      </w:r>
      <w:r w:rsidR="00937C9E">
        <w:t>.</w:t>
      </w:r>
    </w:p>
    <w:p w:rsidR="004237EB" w:rsidRDefault="00937C9E" w:rsidP="004237EB">
      <w:pPr>
        <w:pStyle w:val="SASRBullet"/>
      </w:pPr>
      <w:proofErr w:type="spellStart"/>
      <w:r>
        <w:t>Yousafzai</w:t>
      </w:r>
      <w:proofErr w:type="spellEnd"/>
      <w:r>
        <w:t xml:space="preserve"> uses </w:t>
      </w:r>
      <w:r w:rsidR="00411A83">
        <w:t xml:space="preserve">parallel structures when </w:t>
      </w:r>
      <w:r>
        <w:t>she</w:t>
      </w:r>
      <w:r w:rsidR="00411A83">
        <w:t xml:space="preserve"> </w:t>
      </w:r>
      <w:r w:rsidR="004237EB">
        <w:t>states, “Weakness, fear, and hopelessness died. Strength, power and courage was born”</w:t>
      </w:r>
      <w:r w:rsidR="003B6128">
        <w:t xml:space="preserve"> (par. 6).</w:t>
      </w:r>
      <w:r>
        <w:t xml:space="preserve"> The parallel structure emphasizes that for each hope the </w:t>
      </w:r>
      <w:r w:rsidRPr="002B3E72">
        <w:rPr>
          <w:i/>
        </w:rPr>
        <w:t>Taliban</w:t>
      </w:r>
      <w:r>
        <w:t xml:space="preserve"> had, </w:t>
      </w:r>
      <w:proofErr w:type="spellStart"/>
      <w:r>
        <w:t>Yousafzai</w:t>
      </w:r>
      <w:proofErr w:type="spellEnd"/>
      <w:r>
        <w:t xml:space="preserve"> denied them the</w:t>
      </w:r>
      <w:r w:rsidR="004C56FE">
        <w:t>ir victory and emerged stronger.</w:t>
      </w:r>
    </w:p>
    <w:p w:rsidR="004237EB" w:rsidRDefault="004C56FE" w:rsidP="004237EB">
      <w:pPr>
        <w:pStyle w:val="SASRBullet"/>
      </w:pPr>
      <w:proofErr w:type="spellStart"/>
      <w:r>
        <w:t>Yousafzai</w:t>
      </w:r>
      <w:proofErr w:type="spellEnd"/>
      <w:r w:rsidR="004237EB">
        <w:t xml:space="preserve"> uses repetition by using the word </w:t>
      </w:r>
      <w:r w:rsidR="004237EB">
        <w:rPr>
          <w:i/>
        </w:rPr>
        <w:t>same</w:t>
      </w:r>
      <w:r w:rsidR="004237EB">
        <w:t xml:space="preserve"> four times in the last two sentences</w:t>
      </w:r>
      <w:r w:rsidR="003B6128">
        <w:t xml:space="preserve">: </w:t>
      </w:r>
      <w:r w:rsidR="004237EB">
        <w:t xml:space="preserve">“I am the same </w:t>
      </w:r>
      <w:proofErr w:type="spellStart"/>
      <w:r w:rsidR="004237EB">
        <w:t>Malala</w:t>
      </w:r>
      <w:proofErr w:type="spellEnd"/>
      <w:r w:rsidR="004237EB">
        <w:t>. My ambitions are the same. My hopes are the same. My dreams are the same”</w:t>
      </w:r>
      <w:r w:rsidR="003B6128">
        <w:t xml:space="preserve"> (par. 6</w:t>
      </w:r>
      <w:r w:rsidR="004237EB">
        <w:t>)</w:t>
      </w:r>
      <w:r w:rsidR="007B18BA">
        <w:t>.</w:t>
      </w:r>
      <w:r>
        <w:t xml:space="preserve"> The repetition emphasizes </w:t>
      </w:r>
      <w:proofErr w:type="spellStart"/>
      <w:r>
        <w:t>Yousafzai’s</w:t>
      </w:r>
      <w:proofErr w:type="spellEnd"/>
      <w:r>
        <w:t xml:space="preserve"> determination.</w:t>
      </w:r>
    </w:p>
    <w:p w:rsidR="00F13FA9" w:rsidRDefault="006C511E" w:rsidP="002F155B">
      <w:pPr>
        <w:pStyle w:val="IN"/>
      </w:pPr>
      <w:r>
        <w:rPr>
          <w:b/>
        </w:rPr>
        <w:t xml:space="preserve">Differentiation Consideration: </w:t>
      </w:r>
      <w:r w:rsidR="00F13FA9" w:rsidRPr="006C511E">
        <w:t>If</w:t>
      </w:r>
      <w:r w:rsidR="00F13FA9">
        <w:t xml:space="preserve"> students </w:t>
      </w:r>
      <w:r>
        <w:t>struggle</w:t>
      </w:r>
      <w:r w:rsidR="00F13FA9">
        <w:t xml:space="preserve"> with this question, </w:t>
      </w:r>
      <w:r>
        <w:t xml:space="preserve">remind them to consult their Rhetorical </w:t>
      </w:r>
      <w:r w:rsidR="000344B9">
        <w:t>Impact</w:t>
      </w:r>
      <w:r>
        <w:t xml:space="preserve"> Tracking Tools for possible devices and definitions. If students continue to struggle, </w:t>
      </w:r>
      <w:r w:rsidR="00F13FA9">
        <w:t>consider posing the following questions:</w:t>
      </w:r>
    </w:p>
    <w:p w:rsidR="004237EB" w:rsidRPr="00F13FA9" w:rsidRDefault="004237EB" w:rsidP="002F155B">
      <w:pPr>
        <w:pStyle w:val="Q"/>
        <w:ind w:left="360"/>
        <w:rPr>
          <w:color w:val="4F81BD" w:themeColor="accent1"/>
        </w:rPr>
      </w:pPr>
      <w:r w:rsidRPr="00F13FA9">
        <w:rPr>
          <w:color w:val="4F81BD" w:themeColor="accent1"/>
        </w:rPr>
        <w:t xml:space="preserve">In paragraph 6 </w:t>
      </w:r>
      <w:proofErr w:type="spellStart"/>
      <w:r w:rsidRPr="00F13FA9">
        <w:rPr>
          <w:color w:val="4F81BD" w:themeColor="accent1"/>
        </w:rPr>
        <w:t>Malala</w:t>
      </w:r>
      <w:proofErr w:type="spellEnd"/>
      <w:r w:rsidRPr="00F13FA9">
        <w:rPr>
          <w:color w:val="4F81BD" w:themeColor="accent1"/>
        </w:rPr>
        <w:t xml:space="preserve"> </w:t>
      </w:r>
      <w:proofErr w:type="spellStart"/>
      <w:r w:rsidRPr="00F13FA9">
        <w:rPr>
          <w:color w:val="4F81BD" w:themeColor="accent1"/>
        </w:rPr>
        <w:t>Yousafzai</w:t>
      </w:r>
      <w:proofErr w:type="spellEnd"/>
      <w:r w:rsidRPr="00F13FA9">
        <w:rPr>
          <w:color w:val="4F81BD" w:themeColor="accent1"/>
        </w:rPr>
        <w:t xml:space="preserve"> states, “Weakness, fear, and hopelessness died. Strength, power and courage was born.” In what ways are these statements similar?</w:t>
      </w:r>
    </w:p>
    <w:p w:rsidR="004237EB" w:rsidRPr="00F13FA9" w:rsidRDefault="004237EB" w:rsidP="004237EB">
      <w:pPr>
        <w:pStyle w:val="SR"/>
        <w:rPr>
          <w:color w:val="4F81BD" w:themeColor="accent1"/>
        </w:rPr>
      </w:pPr>
      <w:r w:rsidRPr="00F13FA9">
        <w:rPr>
          <w:color w:val="4F81BD" w:themeColor="accent1"/>
        </w:rPr>
        <w:t>The statements are grammatically similar. Each begins with three qualities and ends with a verb having to do with a state of being (life/death).</w:t>
      </w:r>
    </w:p>
    <w:p w:rsidR="004237EB" w:rsidRPr="00F13FA9" w:rsidRDefault="004237EB" w:rsidP="002F155B">
      <w:pPr>
        <w:pStyle w:val="Q"/>
        <w:ind w:firstLine="360"/>
        <w:rPr>
          <w:color w:val="4F81BD" w:themeColor="accent1"/>
        </w:rPr>
      </w:pPr>
      <w:r w:rsidRPr="00F13FA9">
        <w:rPr>
          <w:color w:val="4F81BD" w:themeColor="accent1"/>
        </w:rPr>
        <w:lastRenderedPageBreak/>
        <w:t>In what ways are the statements different?</w:t>
      </w:r>
    </w:p>
    <w:p w:rsidR="004237EB" w:rsidRDefault="004237EB" w:rsidP="004237EB">
      <w:pPr>
        <w:pStyle w:val="SR"/>
        <w:rPr>
          <w:color w:val="4F81BD" w:themeColor="accent1"/>
        </w:rPr>
      </w:pPr>
      <w:r w:rsidRPr="00F13FA9">
        <w:rPr>
          <w:color w:val="4F81BD" w:themeColor="accent1"/>
        </w:rPr>
        <w:t>The statements express opposing ideas. The first statement is about three negative qualities,</w:t>
      </w:r>
      <w:r w:rsidR="00411A83">
        <w:rPr>
          <w:color w:val="4F81BD" w:themeColor="accent1"/>
        </w:rPr>
        <w:t xml:space="preserve"> </w:t>
      </w:r>
      <w:r w:rsidRPr="00F13FA9">
        <w:rPr>
          <w:color w:val="4F81BD" w:themeColor="accent1"/>
        </w:rPr>
        <w:t>while the second is about three positive qualities. The first statement says the qualities died, while the second statement says the qualities were born.</w:t>
      </w:r>
    </w:p>
    <w:p w:rsidR="00244183" w:rsidRDefault="00F13FA9">
      <w:pPr>
        <w:pStyle w:val="Q"/>
        <w:ind w:left="360"/>
        <w:rPr>
          <w:color w:val="4F81BD" w:themeColor="accent1"/>
        </w:rPr>
      </w:pPr>
      <w:r w:rsidRPr="00F13FA9">
        <w:rPr>
          <w:color w:val="4F81BD" w:themeColor="accent1"/>
        </w:rPr>
        <w:t>What word</w:t>
      </w:r>
      <w:r>
        <w:rPr>
          <w:color w:val="4F81BD" w:themeColor="accent1"/>
        </w:rPr>
        <w:t xml:space="preserve"> does </w:t>
      </w:r>
      <w:proofErr w:type="spellStart"/>
      <w:r>
        <w:rPr>
          <w:color w:val="4F81BD" w:themeColor="accent1"/>
        </w:rPr>
        <w:t>Malala</w:t>
      </w:r>
      <w:proofErr w:type="spellEnd"/>
      <w:r>
        <w:rPr>
          <w:color w:val="4F81BD" w:themeColor="accent1"/>
        </w:rPr>
        <w:t xml:space="preserve"> </w:t>
      </w:r>
      <w:proofErr w:type="spellStart"/>
      <w:r>
        <w:rPr>
          <w:color w:val="4F81BD" w:themeColor="accent1"/>
        </w:rPr>
        <w:t>Yousafzai</w:t>
      </w:r>
      <w:proofErr w:type="spellEnd"/>
      <w:r>
        <w:rPr>
          <w:color w:val="4F81BD" w:themeColor="accent1"/>
        </w:rPr>
        <w:t xml:space="preserve"> repeat in the last two sentences of paragraph 6?</w:t>
      </w:r>
      <w:r w:rsidR="00E920BF">
        <w:rPr>
          <w:color w:val="4F81BD" w:themeColor="accent1"/>
        </w:rPr>
        <w:t xml:space="preserve"> What is the impact of this repetition?</w:t>
      </w:r>
    </w:p>
    <w:p w:rsidR="00244183" w:rsidRPr="003F0A3B" w:rsidRDefault="00F13FA9">
      <w:pPr>
        <w:pStyle w:val="SR"/>
        <w:rPr>
          <w:color w:val="4F81BD" w:themeColor="accent1"/>
        </w:rPr>
      </w:pPr>
      <w:r w:rsidRPr="003F0A3B">
        <w:rPr>
          <w:color w:val="4F81BD" w:themeColor="accent1"/>
        </w:rPr>
        <w:t xml:space="preserve">She repeats the word </w:t>
      </w:r>
      <w:r w:rsidRPr="003F0A3B">
        <w:rPr>
          <w:i/>
          <w:color w:val="4F81BD" w:themeColor="accent1"/>
        </w:rPr>
        <w:t>same</w:t>
      </w:r>
      <w:r w:rsidR="005C4B57" w:rsidRPr="003F0A3B">
        <w:rPr>
          <w:i/>
          <w:color w:val="4F81BD" w:themeColor="accent1"/>
        </w:rPr>
        <w:t>,</w:t>
      </w:r>
      <w:r w:rsidR="00E920BF" w:rsidRPr="003F0A3B">
        <w:rPr>
          <w:color w:val="4F81BD" w:themeColor="accent1"/>
        </w:rPr>
        <w:t xml:space="preserve"> which emphasizes that despite the </w:t>
      </w:r>
      <w:r w:rsidR="00E920BF" w:rsidRPr="00C14B28">
        <w:rPr>
          <w:i/>
          <w:color w:val="4F81BD" w:themeColor="accent1"/>
        </w:rPr>
        <w:t>Taliban</w:t>
      </w:r>
      <w:r w:rsidR="00E920BF" w:rsidRPr="003F0A3B">
        <w:rPr>
          <w:color w:val="4F81BD" w:themeColor="accent1"/>
        </w:rPr>
        <w:t>’s efforts</w:t>
      </w:r>
      <w:r w:rsidR="00DC5069" w:rsidRPr="003F0A3B">
        <w:rPr>
          <w:color w:val="4F81BD" w:themeColor="accent1"/>
        </w:rPr>
        <w:t xml:space="preserve"> to </w:t>
      </w:r>
      <w:r w:rsidR="00E920BF" w:rsidRPr="003F0A3B">
        <w:rPr>
          <w:color w:val="4F81BD" w:themeColor="accent1"/>
        </w:rPr>
        <w:t>change</w:t>
      </w:r>
      <w:r w:rsidR="00DC5069" w:rsidRPr="003F0A3B">
        <w:rPr>
          <w:color w:val="4F81BD" w:themeColor="accent1"/>
        </w:rPr>
        <w:t xml:space="preserve"> </w:t>
      </w:r>
      <w:proofErr w:type="spellStart"/>
      <w:r w:rsidR="00DC5069" w:rsidRPr="003F0A3B">
        <w:rPr>
          <w:color w:val="4F81BD" w:themeColor="accent1"/>
        </w:rPr>
        <w:t>Yousafzai</w:t>
      </w:r>
      <w:proofErr w:type="spellEnd"/>
      <w:r w:rsidR="00E920BF" w:rsidRPr="003F0A3B">
        <w:rPr>
          <w:color w:val="4F81BD" w:themeColor="accent1"/>
        </w:rPr>
        <w:t>, she remains unchanged</w:t>
      </w:r>
      <w:r w:rsidRPr="003F0A3B">
        <w:rPr>
          <w:i/>
          <w:color w:val="4F81BD" w:themeColor="accent1"/>
        </w:rPr>
        <w:t>.</w:t>
      </w:r>
    </w:p>
    <w:p w:rsidR="00DC3690" w:rsidRPr="004E1F2B" w:rsidRDefault="00DE08E6" w:rsidP="00DC3690">
      <w:pPr>
        <w:pStyle w:val="TA"/>
      </w:pPr>
      <w:r>
        <w:t xml:space="preserve">Lead a brief whole-class discussion of student responses. Then instruct students to use their Rhetorical Impact Tracking Tool to track and analyze </w:t>
      </w:r>
      <w:proofErr w:type="spellStart"/>
      <w:r>
        <w:t>Yousafzai’s</w:t>
      </w:r>
      <w:proofErr w:type="spellEnd"/>
      <w:r>
        <w:t xml:space="preserve"> use of rhetoric in paragraphs 1–6.</w:t>
      </w:r>
    </w:p>
    <w:p w:rsidR="004B161C" w:rsidRPr="00563CB8" w:rsidRDefault="004B161C" w:rsidP="004B161C">
      <w:pPr>
        <w:pStyle w:val="LearningSequenceHeader"/>
      </w:pPr>
      <w:r>
        <w:t>Activity 5</w:t>
      </w:r>
      <w:r w:rsidRPr="00563CB8">
        <w:t xml:space="preserve">: </w:t>
      </w:r>
      <w:r>
        <w:t>Quick Write</w:t>
      </w:r>
      <w:r w:rsidRPr="00563CB8">
        <w:tab/>
      </w:r>
      <w:r w:rsidR="00A213D5">
        <w:t>10</w:t>
      </w:r>
      <w:r w:rsidRPr="00563CB8">
        <w:t>%</w:t>
      </w:r>
    </w:p>
    <w:p w:rsidR="004B161C" w:rsidRDefault="004B161C" w:rsidP="004B161C">
      <w:pPr>
        <w:pStyle w:val="TA"/>
      </w:pPr>
      <w:r>
        <w:t>Instruct students to respond briefly in writing to the following prompt:</w:t>
      </w:r>
    </w:p>
    <w:p w:rsidR="004B161C" w:rsidRDefault="004C5CC0" w:rsidP="004B161C">
      <w:pPr>
        <w:pStyle w:val="Q"/>
      </w:pPr>
      <w:r>
        <w:t xml:space="preserve">How does </w:t>
      </w:r>
      <w:proofErr w:type="spellStart"/>
      <w:r>
        <w:t>Yousafzai</w:t>
      </w:r>
      <w:proofErr w:type="spellEnd"/>
      <w:r>
        <w:t xml:space="preserve"> use rhetoric </w:t>
      </w:r>
      <w:r w:rsidR="00FA1BE2">
        <w:t>in paragraphs 1</w:t>
      </w:r>
      <w:r w:rsidR="004C3E9B">
        <w:t>–</w:t>
      </w:r>
      <w:r w:rsidR="00DE08E6">
        <w:t>6</w:t>
      </w:r>
      <w:r w:rsidR="00FA1BE2">
        <w:t xml:space="preserve"> </w:t>
      </w:r>
      <w:r>
        <w:t>to advance her purpose?</w:t>
      </w:r>
    </w:p>
    <w:p w:rsidR="004B161C" w:rsidRDefault="004B161C" w:rsidP="004B161C">
      <w:pPr>
        <w:pStyle w:val="TA"/>
      </w:pPr>
      <w:r>
        <w:t xml:space="preserve">Instruct students to look at their annotations </w:t>
      </w:r>
      <w:r w:rsidR="00731FA7">
        <w:t>and the Rhetoric</w:t>
      </w:r>
      <w:r w:rsidR="00296255">
        <w:t>al Impact</w:t>
      </w:r>
      <w:r w:rsidR="00731FA7">
        <w:t xml:space="preserve"> Tracking Tool </w:t>
      </w:r>
      <w:r>
        <w:t xml:space="preserve">to find evidence. </w:t>
      </w:r>
      <w:r w:rsidR="000647DB">
        <w:t>Ask students to use this lesson’s vocabulary wherever possible in their written responses</w:t>
      </w:r>
      <w:r w:rsidR="002E29D1">
        <w:t xml:space="preserve"> and to practice usi</w:t>
      </w:r>
      <w:r w:rsidR="001A5877">
        <w:t>ng specific language and domain-</w:t>
      </w:r>
      <w:r w:rsidR="002E29D1">
        <w:t>specific vocabulary</w:t>
      </w:r>
      <w:r w:rsidR="000647DB">
        <w:t xml:space="preserve">. </w:t>
      </w:r>
      <w:r>
        <w:t>Remind students to use the Short Response Rubric and Checklist to guide their written responses.</w:t>
      </w:r>
    </w:p>
    <w:p w:rsidR="004B161C" w:rsidRDefault="004B161C" w:rsidP="004B161C">
      <w:pPr>
        <w:pStyle w:val="IN"/>
      </w:pPr>
      <w:r>
        <w:t>Display the</w:t>
      </w:r>
      <w:r w:rsidRPr="002C38DB">
        <w:t xml:space="preserve"> prompt for students to see</w:t>
      </w:r>
      <w:r>
        <w:t>, or provide the prompt in</w:t>
      </w:r>
      <w:r w:rsidRPr="002C38DB">
        <w:t xml:space="preserve"> hard copy</w:t>
      </w:r>
      <w:r>
        <w:t>.</w:t>
      </w:r>
    </w:p>
    <w:p w:rsidR="004B161C" w:rsidRDefault="004B161C" w:rsidP="004B161C">
      <w:pPr>
        <w:pStyle w:val="SA"/>
      </w:pPr>
      <w:r>
        <w:t xml:space="preserve">Students </w:t>
      </w:r>
      <w:r w:rsidR="00384FCD">
        <w:t>independently answer the prompt</w:t>
      </w:r>
      <w:r>
        <w:t xml:space="preserve"> using evidence from the text. </w:t>
      </w:r>
    </w:p>
    <w:p w:rsidR="004B161C" w:rsidRDefault="004B161C" w:rsidP="00CE2836">
      <w:pPr>
        <w:pStyle w:val="SR"/>
      </w:pPr>
      <w:r>
        <w:t>See the High Performance Response at the beginning of this lesson.</w:t>
      </w:r>
    </w:p>
    <w:p w:rsidR="009403AD" w:rsidRPr="00563CB8" w:rsidRDefault="004B161C" w:rsidP="002B7F2E">
      <w:pPr>
        <w:pStyle w:val="LearningSequenceHeader"/>
        <w:keepNext/>
      </w:pPr>
      <w:r>
        <w:t>Activity 6</w:t>
      </w:r>
      <w:r w:rsidR="009403AD" w:rsidRPr="00563CB8">
        <w:t xml:space="preserve">: </w:t>
      </w:r>
      <w:r w:rsidR="00210A78">
        <w:t>Closing</w:t>
      </w:r>
      <w:r w:rsidR="009403AD" w:rsidRPr="00563CB8">
        <w:tab/>
      </w:r>
      <w:r w:rsidR="009403AD">
        <w:t>5</w:t>
      </w:r>
      <w:r w:rsidR="009403AD" w:rsidRPr="00563CB8">
        <w:t>%</w:t>
      </w:r>
    </w:p>
    <w:p w:rsidR="004761A5" w:rsidRPr="002F155B" w:rsidRDefault="004761A5" w:rsidP="00721437">
      <w:pPr>
        <w:pStyle w:val="TA"/>
      </w:pPr>
      <w:r w:rsidRPr="002F155B">
        <w:t xml:space="preserve">Display and distribute the homework assignment. For homework, </w:t>
      </w:r>
      <w:r w:rsidR="004C3E9B">
        <w:t xml:space="preserve">instruct students to use an Argument Delineation Tool to trace </w:t>
      </w:r>
      <w:proofErr w:type="spellStart"/>
      <w:r w:rsidR="004C3E9B">
        <w:t>Yousafzai’s</w:t>
      </w:r>
      <w:proofErr w:type="spellEnd"/>
      <w:r w:rsidR="004C3E9B">
        <w:t xml:space="preserve"> argument in paragraphs 1–</w:t>
      </w:r>
      <w:r w:rsidR="00C11CE5">
        <w:t>6</w:t>
      </w:r>
      <w:r w:rsidR="004C3E9B">
        <w:t xml:space="preserve"> of the speech </w:t>
      </w:r>
      <w:r w:rsidR="00AA01C0">
        <w:t>(</w:t>
      </w:r>
      <w:r w:rsidR="004C3E9B">
        <w:t>from “In the name of God, the Most Beneficent” to “</w:t>
      </w:r>
      <w:r w:rsidR="00C11CE5">
        <w:t>My dreams are the same</w:t>
      </w:r>
      <w:r w:rsidR="00EC4DF4">
        <w:t>”</w:t>
      </w:r>
      <w:r w:rsidR="00AA01C0">
        <w:t>).</w:t>
      </w:r>
      <w:r w:rsidR="004C3E9B">
        <w:t xml:space="preserve"> </w:t>
      </w:r>
    </w:p>
    <w:p w:rsidR="004761A5" w:rsidRDefault="004761A5" w:rsidP="004761A5">
      <w:pPr>
        <w:pStyle w:val="TA"/>
      </w:pPr>
      <w:r>
        <w:t xml:space="preserve">Also for homework, </w:t>
      </w:r>
      <w:r w:rsidR="004C3E9B" w:rsidRPr="002F155B">
        <w:t xml:space="preserve">instruct students to </w:t>
      </w:r>
      <w:r w:rsidR="004C3E9B" w:rsidRPr="00721437">
        <w:t xml:space="preserve">read </w:t>
      </w:r>
      <w:r w:rsidR="004C3E9B">
        <w:t xml:space="preserve">paragraphs </w:t>
      </w:r>
      <w:r w:rsidR="00C11CE5">
        <w:t>7</w:t>
      </w:r>
      <w:r w:rsidR="004C3E9B">
        <w:t>–20</w:t>
      </w:r>
      <w:r w:rsidR="004C3E9B" w:rsidRPr="00721437">
        <w:t xml:space="preserve"> </w:t>
      </w:r>
      <w:r w:rsidR="00EC4DF4" w:rsidRPr="00721437">
        <w:t xml:space="preserve">of the transcript of </w:t>
      </w:r>
      <w:proofErr w:type="spellStart"/>
      <w:r w:rsidR="00EC4DF4" w:rsidRPr="002F155B">
        <w:t>Yousafzai’s</w:t>
      </w:r>
      <w:proofErr w:type="spellEnd"/>
      <w:r w:rsidR="00EC4DF4" w:rsidRPr="002F155B">
        <w:t xml:space="preserve"> speech </w:t>
      </w:r>
      <w:r w:rsidR="00AA01C0">
        <w:t>(</w:t>
      </w:r>
      <w:r w:rsidR="00830805">
        <w:t>from “The wise saying, ‘The pen is mightier than sword’” to “</w:t>
      </w:r>
      <w:proofErr w:type="spellStart"/>
      <w:r w:rsidR="00830805">
        <w:t>Educaion</w:t>
      </w:r>
      <w:proofErr w:type="spellEnd"/>
      <w:r w:rsidR="00830805">
        <w:t xml:space="preserve"> is the</w:t>
      </w:r>
      <w:r w:rsidR="00AA01C0">
        <w:t xml:space="preserve"> only solution. Education First</w:t>
      </w:r>
      <w:r w:rsidR="00830805">
        <w:t>”</w:t>
      </w:r>
      <w:r w:rsidR="00AA01C0">
        <w:t>)</w:t>
      </w:r>
      <w:r w:rsidR="00830805">
        <w:t xml:space="preserve"> </w:t>
      </w:r>
      <w:r w:rsidR="004C3E9B" w:rsidRPr="002F155B">
        <w:t>and use the Rhetoric</w:t>
      </w:r>
      <w:r w:rsidR="004C3E9B">
        <w:t xml:space="preserve">al </w:t>
      </w:r>
      <w:r w:rsidR="00296255">
        <w:t>Impact</w:t>
      </w:r>
      <w:r w:rsidR="004C3E9B" w:rsidRPr="002F155B">
        <w:t xml:space="preserve"> Tracking Tool to record the impact of her use of rhetoric.</w:t>
      </w:r>
    </w:p>
    <w:p w:rsidR="004761A5" w:rsidRDefault="004761A5" w:rsidP="004761A5">
      <w:pPr>
        <w:pStyle w:val="SA"/>
      </w:pPr>
      <w:r>
        <w:t>Students follow along.</w:t>
      </w:r>
    </w:p>
    <w:p w:rsidR="006E7D3C" w:rsidRDefault="004761A5" w:rsidP="000A64DB">
      <w:pPr>
        <w:pStyle w:val="Heading1"/>
      </w:pPr>
      <w:r>
        <w:lastRenderedPageBreak/>
        <w:t>Homework</w:t>
      </w:r>
    </w:p>
    <w:p w:rsidR="00731FA7" w:rsidRPr="000A64DB" w:rsidRDefault="004C3E9B" w:rsidP="000A64DB">
      <w:r>
        <w:t xml:space="preserve">Use an Argument Delineation Tool to trace </w:t>
      </w:r>
      <w:proofErr w:type="spellStart"/>
      <w:r>
        <w:t>Yousafzai’s</w:t>
      </w:r>
      <w:proofErr w:type="spellEnd"/>
      <w:r>
        <w:t xml:space="preserve"> argument in paragraphs 1–</w:t>
      </w:r>
      <w:r w:rsidR="00C11CE5">
        <w:t>6</w:t>
      </w:r>
      <w:r w:rsidR="00EC4DF4">
        <w:t xml:space="preserve"> of h</w:t>
      </w:r>
      <w:r>
        <w:t>e</w:t>
      </w:r>
      <w:r w:rsidR="00EC4DF4">
        <w:t>r</w:t>
      </w:r>
      <w:r>
        <w:t xml:space="preserve"> speech</w:t>
      </w:r>
      <w:r w:rsidR="00EC4DF4">
        <w:t>,</w:t>
      </w:r>
      <w:r>
        <w:t xml:space="preserve"> </w:t>
      </w:r>
      <w:r w:rsidR="00AA01C0">
        <w:t>(</w:t>
      </w:r>
      <w:r>
        <w:t>from “In the name of God, the Most Beneficent the Most Merciful” to “</w:t>
      </w:r>
      <w:r w:rsidR="00C11CE5">
        <w:t>My dreams are the same</w:t>
      </w:r>
      <w:r w:rsidR="00EC4DF4">
        <w:t>”</w:t>
      </w:r>
      <w:r w:rsidR="00AA01C0">
        <w:t>)</w:t>
      </w:r>
      <w:r w:rsidR="00660661">
        <w:t>.</w:t>
      </w:r>
      <w:r w:rsidR="003B39B2">
        <w:t xml:space="preserve"> </w:t>
      </w:r>
    </w:p>
    <w:p w:rsidR="00004D03" w:rsidRDefault="00223AE8" w:rsidP="00223AE8">
      <w:r>
        <w:t xml:space="preserve">Also, </w:t>
      </w:r>
      <w:r w:rsidR="004C3E9B">
        <w:rPr>
          <w:rStyle w:val="Hyperlink"/>
          <w:color w:val="auto"/>
          <w:u w:val="none"/>
        </w:rPr>
        <w:t xml:space="preserve">read paragraphs </w:t>
      </w:r>
      <w:r w:rsidR="00C11CE5">
        <w:rPr>
          <w:rStyle w:val="Hyperlink"/>
          <w:color w:val="auto"/>
          <w:u w:val="none"/>
        </w:rPr>
        <w:t>7</w:t>
      </w:r>
      <w:r w:rsidR="004C3E9B">
        <w:rPr>
          <w:rStyle w:val="Hyperlink"/>
          <w:color w:val="auto"/>
          <w:u w:val="none"/>
        </w:rPr>
        <w:t xml:space="preserve">–20 </w:t>
      </w:r>
      <w:r w:rsidR="00EC4DF4">
        <w:rPr>
          <w:rStyle w:val="Hyperlink"/>
          <w:color w:val="auto"/>
          <w:u w:val="none"/>
        </w:rPr>
        <w:t>of the t</w:t>
      </w:r>
      <w:r w:rsidR="00AA01C0">
        <w:rPr>
          <w:rStyle w:val="Hyperlink"/>
          <w:color w:val="auto"/>
          <w:u w:val="none"/>
        </w:rPr>
        <w:t xml:space="preserve">ranscript of </w:t>
      </w:r>
      <w:proofErr w:type="spellStart"/>
      <w:r w:rsidR="00AA01C0">
        <w:rPr>
          <w:rStyle w:val="Hyperlink"/>
          <w:color w:val="auto"/>
          <w:u w:val="none"/>
        </w:rPr>
        <w:t>Yousafzai’s</w:t>
      </w:r>
      <w:proofErr w:type="spellEnd"/>
      <w:r w:rsidR="00AA01C0">
        <w:rPr>
          <w:rStyle w:val="Hyperlink"/>
          <w:color w:val="auto"/>
          <w:u w:val="none"/>
        </w:rPr>
        <w:t xml:space="preserve"> speech</w:t>
      </w:r>
      <w:r w:rsidR="00EC4DF4">
        <w:rPr>
          <w:rStyle w:val="Hyperlink"/>
          <w:color w:val="auto"/>
          <w:u w:val="none"/>
        </w:rPr>
        <w:t xml:space="preserve"> </w:t>
      </w:r>
      <w:r w:rsidR="00AA01C0">
        <w:rPr>
          <w:rStyle w:val="Hyperlink"/>
          <w:color w:val="auto"/>
          <w:u w:val="none"/>
        </w:rPr>
        <w:t>(</w:t>
      </w:r>
      <w:r w:rsidR="00830805">
        <w:rPr>
          <w:rStyle w:val="Hyperlink"/>
          <w:color w:val="auto"/>
          <w:u w:val="none"/>
        </w:rPr>
        <w:t>from “The wise saying, ‘The pen is mightier than sword’” to “Education is the only solution. Education First”</w:t>
      </w:r>
      <w:r w:rsidR="00AA01C0">
        <w:rPr>
          <w:rStyle w:val="Hyperlink"/>
          <w:color w:val="auto"/>
          <w:u w:val="none"/>
        </w:rPr>
        <w:t>)</w:t>
      </w:r>
      <w:r w:rsidR="00830805">
        <w:rPr>
          <w:rStyle w:val="Hyperlink"/>
          <w:color w:val="auto"/>
          <w:u w:val="none"/>
        </w:rPr>
        <w:t xml:space="preserve"> </w:t>
      </w:r>
      <w:r w:rsidR="004C3E9B">
        <w:rPr>
          <w:rStyle w:val="Hyperlink"/>
          <w:color w:val="auto"/>
          <w:u w:val="none"/>
        </w:rPr>
        <w:t xml:space="preserve">and use the Rhetorical </w:t>
      </w:r>
      <w:r w:rsidR="00296255">
        <w:rPr>
          <w:rStyle w:val="Hyperlink"/>
          <w:color w:val="auto"/>
          <w:u w:val="none"/>
        </w:rPr>
        <w:t>Impact</w:t>
      </w:r>
      <w:r w:rsidR="004C3E9B">
        <w:rPr>
          <w:rStyle w:val="Hyperlink"/>
          <w:color w:val="auto"/>
          <w:u w:val="none"/>
        </w:rPr>
        <w:t xml:space="preserve"> Tracking Tool to record the impact of her use of rhetoric.</w:t>
      </w:r>
    </w:p>
    <w:p w:rsidR="00721437" w:rsidRDefault="00721437">
      <w:pPr>
        <w:spacing w:before="0" w:after="0" w:line="240" w:lineRule="auto"/>
        <w:rPr>
          <w:rFonts w:asciiTheme="minorHAnsi" w:hAnsiTheme="minorHAnsi"/>
          <w:b/>
          <w:bCs/>
          <w:color w:val="365F91"/>
          <w:sz w:val="32"/>
          <w:szCs w:val="28"/>
        </w:rPr>
      </w:pPr>
      <w:r>
        <w:br w:type="page"/>
      </w:r>
    </w:p>
    <w:p w:rsidR="007154BD" w:rsidRDefault="007154BD" w:rsidP="007154BD">
      <w:pPr>
        <w:pStyle w:val="ToolHeader"/>
      </w:pPr>
      <w:r>
        <w:lastRenderedPageBreak/>
        <w:t>Model Argument Delineation Tool</w:t>
      </w:r>
    </w:p>
    <w:tbl>
      <w:tblPr>
        <w:tblStyle w:val="TableGrid"/>
        <w:tblW w:w="0" w:type="auto"/>
        <w:tblInd w:w="18" w:type="dxa"/>
        <w:tblLook w:val="04A0"/>
      </w:tblPr>
      <w:tblGrid>
        <w:gridCol w:w="910"/>
        <w:gridCol w:w="2782"/>
        <w:gridCol w:w="732"/>
        <w:gridCol w:w="3042"/>
        <w:gridCol w:w="720"/>
        <w:gridCol w:w="1264"/>
      </w:tblGrid>
      <w:tr w:rsidR="00B44A58" w:rsidRPr="00707670" w:rsidTr="002B7F2E">
        <w:trPr>
          <w:trHeight w:val="557"/>
        </w:trPr>
        <w:tc>
          <w:tcPr>
            <w:tcW w:w="910" w:type="dxa"/>
            <w:shd w:val="clear" w:color="auto" w:fill="D9D9D9" w:themeFill="background1" w:themeFillShade="D9"/>
            <w:vAlign w:val="center"/>
          </w:tcPr>
          <w:p w:rsidR="00B44A58" w:rsidRPr="00707670" w:rsidRDefault="00B44A58" w:rsidP="009160A1">
            <w:pPr>
              <w:pStyle w:val="TableText"/>
              <w:rPr>
                <w:b/>
              </w:rPr>
            </w:pPr>
            <w:r w:rsidRPr="00707670">
              <w:rPr>
                <w:b/>
              </w:rPr>
              <w:t>Name:</w:t>
            </w:r>
          </w:p>
        </w:tc>
        <w:tc>
          <w:tcPr>
            <w:tcW w:w="2782" w:type="dxa"/>
            <w:vAlign w:val="center"/>
          </w:tcPr>
          <w:p w:rsidR="00B44A58" w:rsidRPr="00707670" w:rsidRDefault="00B44A58" w:rsidP="009160A1">
            <w:pPr>
              <w:pStyle w:val="TableText"/>
              <w:rPr>
                <w:b/>
              </w:rPr>
            </w:pPr>
          </w:p>
        </w:tc>
        <w:tc>
          <w:tcPr>
            <w:tcW w:w="732" w:type="dxa"/>
            <w:shd w:val="clear" w:color="auto" w:fill="D9D9D9" w:themeFill="background1" w:themeFillShade="D9"/>
            <w:vAlign w:val="center"/>
          </w:tcPr>
          <w:p w:rsidR="00B44A58" w:rsidRPr="00707670" w:rsidRDefault="00B44A58" w:rsidP="009160A1">
            <w:pPr>
              <w:pStyle w:val="TableText"/>
              <w:rPr>
                <w:b/>
              </w:rPr>
            </w:pPr>
            <w:r w:rsidRPr="00707670">
              <w:rPr>
                <w:b/>
              </w:rPr>
              <w:t>Class:</w:t>
            </w:r>
          </w:p>
        </w:tc>
        <w:tc>
          <w:tcPr>
            <w:tcW w:w="3042" w:type="dxa"/>
            <w:vAlign w:val="center"/>
          </w:tcPr>
          <w:p w:rsidR="00B44A58" w:rsidRPr="00707670" w:rsidRDefault="00B44A58" w:rsidP="009160A1">
            <w:pPr>
              <w:pStyle w:val="TableText"/>
              <w:rPr>
                <w:b/>
              </w:rPr>
            </w:pPr>
          </w:p>
        </w:tc>
        <w:tc>
          <w:tcPr>
            <w:tcW w:w="720" w:type="dxa"/>
            <w:shd w:val="clear" w:color="auto" w:fill="D9D9D9" w:themeFill="background1" w:themeFillShade="D9"/>
            <w:vAlign w:val="center"/>
          </w:tcPr>
          <w:p w:rsidR="00B44A58" w:rsidRPr="00707670" w:rsidRDefault="00B44A58" w:rsidP="009160A1">
            <w:pPr>
              <w:pStyle w:val="TableText"/>
              <w:rPr>
                <w:b/>
              </w:rPr>
            </w:pPr>
            <w:r w:rsidRPr="00707670">
              <w:rPr>
                <w:b/>
              </w:rPr>
              <w:t>Date:</w:t>
            </w:r>
          </w:p>
        </w:tc>
        <w:tc>
          <w:tcPr>
            <w:tcW w:w="1264" w:type="dxa"/>
            <w:vAlign w:val="center"/>
          </w:tcPr>
          <w:p w:rsidR="00B44A58" w:rsidRPr="00707670" w:rsidRDefault="00B44A58" w:rsidP="009160A1">
            <w:pPr>
              <w:pStyle w:val="TableText"/>
              <w:rPr>
                <w:b/>
              </w:rPr>
            </w:pPr>
          </w:p>
        </w:tc>
      </w:tr>
    </w:tbl>
    <w:p w:rsidR="007154BD" w:rsidRDefault="007154BD" w:rsidP="007154BD">
      <w:pPr>
        <w:spacing w:before="0" w:after="0"/>
        <w:rPr>
          <w:sz w:val="10"/>
        </w:rPr>
      </w:pPr>
    </w:p>
    <w:tbl>
      <w:tblPr>
        <w:tblStyle w:val="TableGrid"/>
        <w:tblW w:w="0" w:type="auto"/>
        <w:tblInd w:w="18" w:type="dxa"/>
        <w:tblLook w:val="04A0"/>
      </w:tblPr>
      <w:tblGrid>
        <w:gridCol w:w="9450"/>
      </w:tblGrid>
      <w:tr w:rsidR="006F7CF7" w:rsidRPr="00707670" w:rsidTr="002B7F2E">
        <w:trPr>
          <w:trHeight w:val="562"/>
        </w:trPr>
        <w:tc>
          <w:tcPr>
            <w:tcW w:w="9450" w:type="dxa"/>
            <w:shd w:val="clear" w:color="auto" w:fill="D9D9D9" w:themeFill="background1" w:themeFillShade="D9"/>
            <w:vAlign w:val="center"/>
          </w:tcPr>
          <w:p w:rsidR="006F7CF7" w:rsidRPr="006F7CF7" w:rsidRDefault="006F7CF7" w:rsidP="00036A2A">
            <w:pPr>
              <w:pStyle w:val="ToolTableText"/>
              <w:rPr>
                <w:b/>
              </w:rPr>
            </w:pPr>
            <w:r>
              <w:rPr>
                <w:b/>
              </w:rPr>
              <w:t>Directions</w:t>
            </w:r>
            <w:r w:rsidRPr="00C1224F">
              <w:rPr>
                <w:b/>
              </w:rPr>
              <w:t>:</w:t>
            </w:r>
            <w:r>
              <w:rPr>
                <w:b/>
              </w:rPr>
              <w:t xml:space="preserve"> </w:t>
            </w:r>
            <w:r w:rsidRPr="006F7CF7">
              <w:t>Identify and record the central claim from the text or excerpt (paragraph or section). Identify and record each claim that supports the central claim. Identify and record each piece of evidence that supports the supporting claims. Identify and record the reasoning that explains the relationships among claims and across evidence.</w:t>
            </w:r>
          </w:p>
        </w:tc>
      </w:tr>
    </w:tbl>
    <w:p w:rsidR="008C12F4" w:rsidRDefault="008C12F4" w:rsidP="007154BD">
      <w:pPr>
        <w:spacing w:before="0" w:after="0"/>
        <w:rPr>
          <w:sz w:val="10"/>
        </w:rPr>
      </w:pPr>
    </w:p>
    <w:tbl>
      <w:tblPr>
        <w:tblStyle w:val="TableGrid"/>
        <w:tblW w:w="0" w:type="auto"/>
        <w:tblInd w:w="18" w:type="dxa"/>
        <w:tblLook w:val="04A0"/>
      </w:tblPr>
      <w:tblGrid>
        <w:gridCol w:w="764"/>
        <w:gridCol w:w="8686"/>
      </w:tblGrid>
      <w:tr w:rsidR="008C12F4" w:rsidRPr="00E003CD" w:rsidTr="002B7F2E">
        <w:trPr>
          <w:trHeight w:val="557"/>
        </w:trPr>
        <w:tc>
          <w:tcPr>
            <w:tcW w:w="764" w:type="dxa"/>
            <w:shd w:val="clear" w:color="auto" w:fill="D9D9D9" w:themeFill="background1" w:themeFillShade="D9"/>
            <w:vAlign w:val="center"/>
          </w:tcPr>
          <w:p w:rsidR="008C12F4" w:rsidRPr="00E003CD" w:rsidRDefault="008C12F4" w:rsidP="00E003CD">
            <w:pPr>
              <w:pStyle w:val="ToolTableText"/>
              <w:rPr>
                <w:b/>
              </w:rPr>
            </w:pPr>
            <w:r w:rsidRPr="00E003CD">
              <w:rPr>
                <w:b/>
              </w:rPr>
              <w:t>Text:</w:t>
            </w:r>
          </w:p>
        </w:tc>
        <w:tc>
          <w:tcPr>
            <w:tcW w:w="8686" w:type="dxa"/>
            <w:vAlign w:val="center"/>
          </w:tcPr>
          <w:p w:rsidR="008C12F4" w:rsidRPr="00E003CD" w:rsidRDefault="008C12F4" w:rsidP="00E003CD">
            <w:pPr>
              <w:pStyle w:val="ToolTableText"/>
              <w:rPr>
                <w:b/>
              </w:rPr>
            </w:pPr>
            <w:r w:rsidRPr="00F64D3C">
              <w:t xml:space="preserve">“On the Adoption of </w:t>
            </w:r>
            <w:r w:rsidRPr="00F64D3C">
              <w:rPr>
                <w:i/>
              </w:rPr>
              <w:t>The Universal Declaration of Human Rights</w:t>
            </w:r>
            <w:r w:rsidRPr="00F64D3C">
              <w:t>” (paragraphs 10–16)</w:t>
            </w:r>
          </w:p>
        </w:tc>
      </w:tr>
    </w:tbl>
    <w:p w:rsidR="008A10A0" w:rsidRDefault="008A10A0" w:rsidP="007154BD">
      <w:pPr>
        <w:spacing w:before="0" w:after="0"/>
        <w:rPr>
          <w:sz w:val="10"/>
        </w:rPr>
      </w:pPr>
    </w:p>
    <w:tbl>
      <w:tblPr>
        <w:tblStyle w:val="TableGrid"/>
        <w:tblW w:w="0" w:type="auto"/>
        <w:tblInd w:w="18" w:type="dxa"/>
        <w:tblLook w:val="04A0"/>
      </w:tblPr>
      <w:tblGrid>
        <w:gridCol w:w="4140"/>
        <w:gridCol w:w="2340"/>
        <w:gridCol w:w="324"/>
        <w:gridCol w:w="2646"/>
      </w:tblGrid>
      <w:tr w:rsidR="00B44A58" w:rsidRPr="00646088" w:rsidTr="002B7F2E">
        <w:tc>
          <w:tcPr>
            <w:tcW w:w="9450" w:type="dxa"/>
            <w:gridSpan w:val="4"/>
            <w:shd w:val="clear" w:color="auto" w:fill="auto"/>
          </w:tcPr>
          <w:p w:rsidR="00B44A58" w:rsidRDefault="00B44A58" w:rsidP="00C14B28">
            <w:pPr>
              <w:pStyle w:val="ToolTableText"/>
              <w:rPr>
                <w:b/>
              </w:rPr>
            </w:pPr>
            <w:r>
              <w:rPr>
                <w:b/>
              </w:rPr>
              <w:t>Central Claim</w:t>
            </w:r>
            <w:r w:rsidRPr="00707670">
              <w:rPr>
                <w:b/>
              </w:rPr>
              <w:t>:</w:t>
            </w:r>
            <w:r>
              <w:rPr>
                <w:b/>
              </w:rPr>
              <w:t xml:space="preserve"> </w:t>
            </w:r>
            <w:r>
              <w:t>The United Nations Assembly should adopt the Universal Declaration of Human Rights “as</w:t>
            </w:r>
            <w:r w:rsidR="00A81A14">
              <w:t xml:space="preserve"> a standard for conduct for all</w:t>
            </w:r>
            <w:r>
              <w:t>”</w:t>
            </w:r>
            <w:r w:rsidR="00A81A14">
              <w:t xml:space="preserve"> </w:t>
            </w:r>
            <w:r w:rsidR="00293177">
              <w:t>(par. 16).</w:t>
            </w:r>
          </w:p>
        </w:tc>
      </w:tr>
      <w:tr w:rsidR="00D714F5" w:rsidRPr="00646088" w:rsidTr="002B7F2E">
        <w:tc>
          <w:tcPr>
            <w:tcW w:w="9450" w:type="dxa"/>
            <w:gridSpan w:val="4"/>
            <w:shd w:val="clear" w:color="auto" w:fill="D9D9D9" w:themeFill="background1" w:themeFillShade="D9"/>
          </w:tcPr>
          <w:p w:rsidR="00D714F5" w:rsidRDefault="00D714F5" w:rsidP="00D714F5">
            <w:pPr>
              <w:pStyle w:val="ToolTableText"/>
              <w:rPr>
                <w:b/>
              </w:rPr>
            </w:pPr>
            <w:r>
              <w:rPr>
                <w:b/>
              </w:rPr>
              <w:t>Supporting Claim:</w:t>
            </w:r>
          </w:p>
        </w:tc>
      </w:tr>
      <w:tr w:rsidR="00D714F5" w:rsidTr="002B7F2E">
        <w:tc>
          <w:tcPr>
            <w:tcW w:w="9450" w:type="dxa"/>
            <w:gridSpan w:val="4"/>
          </w:tcPr>
          <w:p w:rsidR="00D714F5" w:rsidRDefault="00D714F5" w:rsidP="00D714F5">
            <w:pPr>
              <w:pStyle w:val="ToolTableText"/>
            </w:pPr>
            <w:r>
              <w:t>The UDHR serves as “a common standard of achievement”</w:t>
            </w:r>
            <w:r w:rsidR="00293177">
              <w:t xml:space="preserve"> (par. 10).</w:t>
            </w:r>
          </w:p>
        </w:tc>
      </w:tr>
      <w:tr w:rsidR="00D714F5" w:rsidTr="002B7F2E">
        <w:trPr>
          <w:trHeight w:val="656"/>
        </w:trPr>
        <w:tc>
          <w:tcPr>
            <w:tcW w:w="4140" w:type="dxa"/>
            <w:shd w:val="clear" w:color="auto" w:fill="D9D9D9" w:themeFill="background1" w:themeFillShade="D9"/>
          </w:tcPr>
          <w:p w:rsidR="00D714F5" w:rsidRPr="005E5940" w:rsidRDefault="00D714F5" w:rsidP="00D714F5">
            <w:pPr>
              <w:pStyle w:val="ToolTableText"/>
              <w:rPr>
                <w:b/>
              </w:rPr>
            </w:pPr>
            <w:r w:rsidRPr="005E5940">
              <w:rPr>
                <w:b/>
              </w:rPr>
              <w:t>Evidence:</w:t>
            </w:r>
          </w:p>
        </w:tc>
        <w:tc>
          <w:tcPr>
            <w:tcW w:w="2664" w:type="dxa"/>
            <w:gridSpan w:val="2"/>
            <w:shd w:val="clear" w:color="auto" w:fill="D9D9D9" w:themeFill="background1" w:themeFillShade="D9"/>
          </w:tcPr>
          <w:p w:rsidR="00D714F5" w:rsidRPr="005E5940" w:rsidRDefault="00D714F5" w:rsidP="00D714F5">
            <w:pPr>
              <w:pStyle w:val="ToolTableText"/>
              <w:spacing w:after="0"/>
              <w:rPr>
                <w:b/>
              </w:rPr>
            </w:pPr>
            <w:r w:rsidRPr="005E5940">
              <w:rPr>
                <w:b/>
              </w:rPr>
              <w:t>Explain how the evidence is relevant:</w:t>
            </w:r>
          </w:p>
        </w:tc>
        <w:tc>
          <w:tcPr>
            <w:tcW w:w="2646" w:type="dxa"/>
            <w:shd w:val="clear" w:color="auto" w:fill="D9D9D9" w:themeFill="background1" w:themeFillShade="D9"/>
          </w:tcPr>
          <w:p w:rsidR="00D714F5" w:rsidRPr="005E5940" w:rsidRDefault="00D714F5" w:rsidP="00D714F5">
            <w:pPr>
              <w:spacing w:line="240" w:lineRule="auto"/>
              <w:rPr>
                <w:b/>
              </w:rPr>
            </w:pPr>
            <w:r w:rsidRPr="005E5940">
              <w:rPr>
                <w:b/>
              </w:rPr>
              <w:t>Explain whether the evidence is sufficient:</w:t>
            </w:r>
          </w:p>
        </w:tc>
      </w:tr>
      <w:tr w:rsidR="00D714F5" w:rsidTr="002B7F2E">
        <w:tc>
          <w:tcPr>
            <w:tcW w:w="4140" w:type="dxa"/>
          </w:tcPr>
          <w:p w:rsidR="00D714F5" w:rsidRDefault="00D714F5" w:rsidP="00D714F5">
            <w:pPr>
              <w:pStyle w:val="ToolTableText"/>
            </w:pPr>
            <w:r>
              <w:t>The document “is not a treaty; it is not an international agreement”</w:t>
            </w:r>
            <w:r w:rsidR="00293177">
              <w:t xml:space="preserve"> (par. 10)</w:t>
            </w:r>
            <w:r w:rsidR="00C14B28">
              <w:t>.</w:t>
            </w:r>
          </w:p>
        </w:tc>
        <w:tc>
          <w:tcPr>
            <w:tcW w:w="2664" w:type="dxa"/>
            <w:gridSpan w:val="2"/>
          </w:tcPr>
          <w:p w:rsidR="00D714F5" w:rsidRDefault="00D714F5" w:rsidP="00D714F5">
            <w:pPr>
              <w:pStyle w:val="ToolTableText"/>
            </w:pPr>
            <w:r>
              <w:t>Signing the document will not impose new legal obligations on member nations.</w:t>
            </w:r>
          </w:p>
        </w:tc>
        <w:tc>
          <w:tcPr>
            <w:tcW w:w="2646" w:type="dxa"/>
          </w:tcPr>
          <w:p w:rsidR="00D714F5" w:rsidRDefault="00D714F5" w:rsidP="00D714F5">
            <w:pPr>
              <w:pStyle w:val="ToolTableText"/>
            </w:pPr>
            <w:r>
              <w:t>The evidence is sufficient because it reviews the legal status of the document and its implications of countries signing the document.</w:t>
            </w:r>
          </w:p>
        </w:tc>
      </w:tr>
      <w:tr w:rsidR="00D714F5" w:rsidTr="002B7F2E">
        <w:tc>
          <w:tcPr>
            <w:tcW w:w="6804" w:type="dxa"/>
            <w:gridSpan w:val="3"/>
            <w:shd w:val="clear" w:color="auto" w:fill="D9D9D9" w:themeFill="background1" w:themeFillShade="D9"/>
          </w:tcPr>
          <w:p w:rsidR="00D714F5" w:rsidRPr="005E5940" w:rsidRDefault="00D714F5" w:rsidP="00D714F5">
            <w:pPr>
              <w:pStyle w:val="ToolTableText"/>
              <w:rPr>
                <w:b/>
              </w:rPr>
            </w:pPr>
            <w:r w:rsidRPr="005E5940">
              <w:rPr>
                <w:b/>
              </w:rPr>
              <w:t>Reasoning:</w:t>
            </w:r>
          </w:p>
        </w:tc>
        <w:tc>
          <w:tcPr>
            <w:tcW w:w="2646" w:type="dxa"/>
            <w:shd w:val="clear" w:color="auto" w:fill="D9D9D9" w:themeFill="background1" w:themeFillShade="D9"/>
          </w:tcPr>
          <w:p w:rsidR="00D714F5" w:rsidRPr="005E5940" w:rsidRDefault="00D714F5" w:rsidP="00D714F5">
            <w:pPr>
              <w:pStyle w:val="ToolTableText"/>
              <w:rPr>
                <w:b/>
              </w:rPr>
            </w:pPr>
            <w:r w:rsidRPr="005E5940">
              <w:rPr>
                <w:b/>
              </w:rPr>
              <w:t>Explain whether the reasoning is valid:</w:t>
            </w:r>
          </w:p>
        </w:tc>
      </w:tr>
      <w:tr w:rsidR="00D714F5" w:rsidTr="002B7F2E">
        <w:tc>
          <w:tcPr>
            <w:tcW w:w="6804" w:type="dxa"/>
            <w:gridSpan w:val="3"/>
            <w:shd w:val="clear" w:color="auto" w:fill="FFFFFF" w:themeFill="background1"/>
          </w:tcPr>
          <w:p w:rsidR="00D714F5" w:rsidRDefault="00D714F5" w:rsidP="00D714F5">
            <w:pPr>
              <w:pStyle w:val="ToolTableText"/>
            </w:pPr>
            <w:r>
              <w:t>Since the document does not have legal obligations, no country should feel uncomfortable signing it as a signal of agreement with its principles.</w:t>
            </w:r>
          </w:p>
        </w:tc>
        <w:tc>
          <w:tcPr>
            <w:tcW w:w="2646" w:type="dxa"/>
            <w:shd w:val="clear" w:color="auto" w:fill="FFFFFF" w:themeFill="background1"/>
          </w:tcPr>
          <w:p w:rsidR="00D714F5" w:rsidRDefault="00D714F5" w:rsidP="00D714F5">
            <w:pPr>
              <w:pStyle w:val="ToolTableText"/>
            </w:pPr>
            <w:r>
              <w:t>The reasoning is valid because since the document is not legally binding, signing it is less significant than signing a legal document.</w:t>
            </w:r>
          </w:p>
          <w:p w:rsidR="00D714F5" w:rsidRDefault="00D714F5" w:rsidP="00D714F5">
            <w:pPr>
              <w:pStyle w:val="ToolTableText"/>
            </w:pPr>
            <w:r>
              <w:t>OR</w:t>
            </w:r>
          </w:p>
          <w:p w:rsidR="00D714F5" w:rsidRDefault="00D714F5" w:rsidP="00D714F5">
            <w:pPr>
              <w:pStyle w:val="ToolTableText"/>
            </w:pPr>
            <w:r>
              <w:t>The reasoning is not valid because member countries will still want the document to reflect their own beliefs and principles.</w:t>
            </w:r>
          </w:p>
        </w:tc>
      </w:tr>
      <w:tr w:rsidR="00D714F5" w:rsidRPr="00646088" w:rsidTr="002B7F2E">
        <w:tc>
          <w:tcPr>
            <w:tcW w:w="9450" w:type="dxa"/>
            <w:gridSpan w:val="4"/>
            <w:shd w:val="clear" w:color="auto" w:fill="D9D9D9" w:themeFill="background1" w:themeFillShade="D9"/>
          </w:tcPr>
          <w:p w:rsidR="00D714F5" w:rsidRDefault="00D714F5" w:rsidP="00D714F5">
            <w:pPr>
              <w:pStyle w:val="ToolTableText"/>
              <w:rPr>
                <w:b/>
              </w:rPr>
            </w:pPr>
            <w:r>
              <w:rPr>
                <w:b/>
              </w:rPr>
              <w:lastRenderedPageBreak/>
              <w:t>Supporting Claim:</w:t>
            </w:r>
          </w:p>
        </w:tc>
      </w:tr>
      <w:tr w:rsidR="00D714F5" w:rsidTr="002B7F2E">
        <w:tc>
          <w:tcPr>
            <w:tcW w:w="9450" w:type="dxa"/>
            <w:gridSpan w:val="4"/>
          </w:tcPr>
          <w:p w:rsidR="00D714F5" w:rsidRDefault="00D714F5" w:rsidP="00D714F5">
            <w:pPr>
              <w:pStyle w:val="ToolTableText"/>
            </w:pPr>
            <w:r>
              <w:t xml:space="preserve">The UDHR may be considered “the international Magna </w:t>
            </w:r>
            <w:proofErr w:type="spellStart"/>
            <w:r>
              <w:t>Carta</w:t>
            </w:r>
            <w:proofErr w:type="spellEnd"/>
            <w:r>
              <w:t xml:space="preserve"> of all men everywhere</w:t>
            </w:r>
            <w:r w:rsidR="00293177">
              <w:t>” (par. 11)</w:t>
            </w:r>
            <w:r>
              <w:t>.</w:t>
            </w:r>
          </w:p>
        </w:tc>
      </w:tr>
      <w:tr w:rsidR="00D714F5" w:rsidTr="002B7F2E">
        <w:trPr>
          <w:trHeight w:val="656"/>
        </w:trPr>
        <w:tc>
          <w:tcPr>
            <w:tcW w:w="4140" w:type="dxa"/>
            <w:shd w:val="clear" w:color="auto" w:fill="D9D9D9" w:themeFill="background1" w:themeFillShade="D9"/>
          </w:tcPr>
          <w:p w:rsidR="00D714F5" w:rsidRPr="005E5940" w:rsidRDefault="00D714F5" w:rsidP="00D714F5">
            <w:pPr>
              <w:pStyle w:val="ToolTableText"/>
              <w:rPr>
                <w:b/>
              </w:rPr>
            </w:pPr>
            <w:r w:rsidRPr="005E5940">
              <w:rPr>
                <w:b/>
              </w:rPr>
              <w:t>Evidence:</w:t>
            </w:r>
          </w:p>
        </w:tc>
        <w:tc>
          <w:tcPr>
            <w:tcW w:w="2340" w:type="dxa"/>
            <w:shd w:val="clear" w:color="auto" w:fill="D9D9D9" w:themeFill="background1" w:themeFillShade="D9"/>
          </w:tcPr>
          <w:p w:rsidR="00D714F5" w:rsidRPr="005E5940" w:rsidRDefault="00D714F5" w:rsidP="00D714F5">
            <w:pPr>
              <w:pStyle w:val="ToolTableText"/>
              <w:rPr>
                <w:b/>
              </w:rPr>
            </w:pPr>
            <w:r w:rsidRPr="005E5940">
              <w:rPr>
                <w:b/>
              </w:rPr>
              <w:t>Explain how the evidence is relevant:</w:t>
            </w:r>
          </w:p>
        </w:tc>
        <w:tc>
          <w:tcPr>
            <w:tcW w:w="2970" w:type="dxa"/>
            <w:gridSpan w:val="2"/>
            <w:shd w:val="clear" w:color="auto" w:fill="D9D9D9" w:themeFill="background1" w:themeFillShade="D9"/>
          </w:tcPr>
          <w:p w:rsidR="00D714F5" w:rsidRPr="005E5940" w:rsidRDefault="00D714F5" w:rsidP="00D714F5">
            <w:pPr>
              <w:spacing w:line="240" w:lineRule="auto"/>
              <w:rPr>
                <w:b/>
              </w:rPr>
            </w:pPr>
            <w:r w:rsidRPr="005E5940">
              <w:rPr>
                <w:b/>
              </w:rPr>
              <w:t>Explain whether the evidence is sufficient:</w:t>
            </w:r>
          </w:p>
        </w:tc>
      </w:tr>
      <w:tr w:rsidR="00D714F5" w:rsidTr="002B7F2E">
        <w:trPr>
          <w:trHeight w:val="332"/>
        </w:trPr>
        <w:tc>
          <w:tcPr>
            <w:tcW w:w="4140" w:type="dxa"/>
          </w:tcPr>
          <w:p w:rsidR="00D714F5" w:rsidRDefault="00D714F5" w:rsidP="00D714F5">
            <w:pPr>
              <w:pStyle w:val="ToolTableText"/>
            </w:pPr>
            <w:r>
              <w:t>None</w:t>
            </w:r>
          </w:p>
        </w:tc>
        <w:tc>
          <w:tcPr>
            <w:tcW w:w="2340" w:type="dxa"/>
          </w:tcPr>
          <w:p w:rsidR="00D714F5" w:rsidRDefault="00D714F5" w:rsidP="00D714F5">
            <w:pPr>
              <w:pStyle w:val="ToolTableText"/>
            </w:pPr>
            <w:r>
              <w:t>N/A</w:t>
            </w:r>
          </w:p>
        </w:tc>
        <w:tc>
          <w:tcPr>
            <w:tcW w:w="2970" w:type="dxa"/>
            <w:gridSpan w:val="2"/>
          </w:tcPr>
          <w:p w:rsidR="00D714F5" w:rsidRDefault="00D714F5" w:rsidP="00D714F5">
            <w:pPr>
              <w:pStyle w:val="ToolTableText"/>
            </w:pPr>
            <w:r>
              <w:t>N/A</w:t>
            </w:r>
          </w:p>
        </w:tc>
      </w:tr>
      <w:tr w:rsidR="00D714F5" w:rsidTr="002B7F2E">
        <w:tc>
          <w:tcPr>
            <w:tcW w:w="6480" w:type="dxa"/>
            <w:gridSpan w:val="2"/>
            <w:shd w:val="clear" w:color="auto" w:fill="D9D9D9" w:themeFill="background1" w:themeFillShade="D9"/>
          </w:tcPr>
          <w:p w:rsidR="00D714F5" w:rsidRPr="005E5940" w:rsidRDefault="00D714F5" w:rsidP="00D714F5">
            <w:pPr>
              <w:pStyle w:val="ToolTableText"/>
              <w:rPr>
                <w:b/>
              </w:rPr>
            </w:pPr>
            <w:r w:rsidRPr="005E5940">
              <w:rPr>
                <w:b/>
              </w:rPr>
              <w:t>Reasoning:</w:t>
            </w:r>
          </w:p>
        </w:tc>
        <w:tc>
          <w:tcPr>
            <w:tcW w:w="2970" w:type="dxa"/>
            <w:gridSpan w:val="2"/>
            <w:shd w:val="clear" w:color="auto" w:fill="D9D9D9" w:themeFill="background1" w:themeFillShade="D9"/>
          </w:tcPr>
          <w:p w:rsidR="00D714F5" w:rsidRPr="005E5940" w:rsidRDefault="00D714F5" w:rsidP="00D714F5">
            <w:pPr>
              <w:pStyle w:val="ToolTableText"/>
              <w:rPr>
                <w:b/>
              </w:rPr>
            </w:pPr>
            <w:r w:rsidRPr="005E5940">
              <w:rPr>
                <w:b/>
              </w:rPr>
              <w:t>Explain whether the reasoning is valid:</w:t>
            </w:r>
          </w:p>
        </w:tc>
      </w:tr>
      <w:tr w:rsidR="00D714F5" w:rsidTr="002B7F2E">
        <w:tc>
          <w:tcPr>
            <w:tcW w:w="6480" w:type="dxa"/>
            <w:gridSpan w:val="2"/>
            <w:shd w:val="clear" w:color="auto" w:fill="FFFFFF" w:themeFill="background1"/>
          </w:tcPr>
          <w:p w:rsidR="00D714F5" w:rsidRDefault="00D714F5" w:rsidP="00D714F5">
            <w:pPr>
              <w:pStyle w:val="ToolTableText"/>
            </w:pPr>
            <w:r>
              <w:t xml:space="preserve">By describing the UDHR as the “international Magna </w:t>
            </w:r>
            <w:proofErr w:type="spellStart"/>
            <w:r>
              <w:t>Carta</w:t>
            </w:r>
            <w:proofErr w:type="spellEnd"/>
            <w:r>
              <w:t xml:space="preserve">” </w:t>
            </w:r>
            <w:r w:rsidR="00293177">
              <w:t xml:space="preserve">(par. 11) </w:t>
            </w:r>
            <w:r>
              <w:t>and comparing it to other important documents associated with promoting human rights, Roosevelt suggests that this document is part of a long history of improving human rights.</w:t>
            </w:r>
          </w:p>
        </w:tc>
        <w:tc>
          <w:tcPr>
            <w:tcW w:w="2970" w:type="dxa"/>
            <w:gridSpan w:val="2"/>
            <w:shd w:val="clear" w:color="auto" w:fill="FFFFFF" w:themeFill="background1"/>
          </w:tcPr>
          <w:p w:rsidR="00D714F5" w:rsidRDefault="00D714F5" w:rsidP="00D714F5">
            <w:pPr>
              <w:pStyle w:val="ToolTableText"/>
            </w:pPr>
            <w:r>
              <w:t xml:space="preserve">The </w:t>
            </w:r>
            <w:r w:rsidR="00EC19E0">
              <w:t>reasoning</w:t>
            </w:r>
            <w:r>
              <w:t xml:space="preserve"> is not necessarily valid since Roosevelt does not explain in detail how the UDHR is similar in content or in import to the documents she names.</w:t>
            </w:r>
          </w:p>
        </w:tc>
      </w:tr>
      <w:tr w:rsidR="00D714F5" w:rsidTr="002B7F2E">
        <w:tc>
          <w:tcPr>
            <w:tcW w:w="9450" w:type="dxa"/>
            <w:gridSpan w:val="4"/>
            <w:shd w:val="clear" w:color="auto" w:fill="D9D9D9" w:themeFill="background1" w:themeFillShade="D9"/>
          </w:tcPr>
          <w:p w:rsidR="00D714F5" w:rsidRDefault="00D714F5" w:rsidP="00D714F5">
            <w:pPr>
              <w:pStyle w:val="ToolTableText"/>
              <w:rPr>
                <w:b/>
              </w:rPr>
            </w:pPr>
            <w:r>
              <w:rPr>
                <w:b/>
              </w:rPr>
              <w:t>Supporting Claim:</w:t>
            </w:r>
          </w:p>
        </w:tc>
      </w:tr>
      <w:tr w:rsidR="00D714F5" w:rsidTr="002B7F2E">
        <w:tc>
          <w:tcPr>
            <w:tcW w:w="9450" w:type="dxa"/>
            <w:gridSpan w:val="4"/>
          </w:tcPr>
          <w:p w:rsidR="00D714F5" w:rsidRDefault="00D714F5" w:rsidP="00D714F5">
            <w:pPr>
              <w:pStyle w:val="ToolTableText"/>
            </w:pPr>
            <w:r>
              <w:t>The UDHR represents “[m]</w:t>
            </w:r>
            <w:proofErr w:type="spellStart"/>
            <w:proofErr w:type="gramStart"/>
            <w:r>
              <w:t>an’s</w:t>
            </w:r>
            <w:proofErr w:type="spellEnd"/>
            <w:proofErr w:type="gramEnd"/>
            <w:r>
              <w:t xml:space="preserve"> desire for peace”</w:t>
            </w:r>
            <w:r w:rsidR="00293177">
              <w:t xml:space="preserve"> (par. 12).</w:t>
            </w:r>
          </w:p>
        </w:tc>
      </w:tr>
      <w:tr w:rsidR="00D714F5" w:rsidRPr="005E5940" w:rsidTr="002B7F2E">
        <w:trPr>
          <w:trHeight w:val="656"/>
        </w:trPr>
        <w:tc>
          <w:tcPr>
            <w:tcW w:w="4140" w:type="dxa"/>
            <w:shd w:val="clear" w:color="auto" w:fill="D9D9D9" w:themeFill="background1" w:themeFillShade="D9"/>
          </w:tcPr>
          <w:p w:rsidR="00D714F5" w:rsidRPr="005E5940" w:rsidRDefault="00D714F5" w:rsidP="00D714F5">
            <w:pPr>
              <w:pStyle w:val="ToolTableText"/>
              <w:rPr>
                <w:b/>
              </w:rPr>
            </w:pPr>
            <w:r w:rsidRPr="005E5940">
              <w:rPr>
                <w:b/>
              </w:rPr>
              <w:t>Evidence:</w:t>
            </w:r>
          </w:p>
        </w:tc>
        <w:tc>
          <w:tcPr>
            <w:tcW w:w="2340" w:type="dxa"/>
            <w:shd w:val="clear" w:color="auto" w:fill="D9D9D9" w:themeFill="background1" w:themeFillShade="D9"/>
          </w:tcPr>
          <w:p w:rsidR="00D714F5" w:rsidRPr="005E5940" w:rsidRDefault="00D714F5" w:rsidP="00D714F5">
            <w:pPr>
              <w:pStyle w:val="ToolTableText"/>
              <w:rPr>
                <w:b/>
              </w:rPr>
            </w:pPr>
            <w:r w:rsidRPr="005E5940">
              <w:rPr>
                <w:b/>
              </w:rPr>
              <w:t>Explain how the evidence is relevant:</w:t>
            </w:r>
          </w:p>
        </w:tc>
        <w:tc>
          <w:tcPr>
            <w:tcW w:w="2970" w:type="dxa"/>
            <w:gridSpan w:val="2"/>
            <w:shd w:val="clear" w:color="auto" w:fill="D9D9D9" w:themeFill="background1" w:themeFillShade="D9"/>
          </w:tcPr>
          <w:p w:rsidR="00D714F5" w:rsidRPr="005E5940" w:rsidRDefault="00D714F5" w:rsidP="00D714F5">
            <w:pPr>
              <w:spacing w:line="240" w:lineRule="auto"/>
              <w:rPr>
                <w:b/>
              </w:rPr>
            </w:pPr>
            <w:r w:rsidRPr="005E5940">
              <w:rPr>
                <w:b/>
              </w:rPr>
              <w:t>Explain whether the evidence is sufficient:</w:t>
            </w:r>
          </w:p>
        </w:tc>
      </w:tr>
      <w:tr w:rsidR="00D714F5" w:rsidTr="002B7F2E">
        <w:trPr>
          <w:trHeight w:val="332"/>
        </w:trPr>
        <w:tc>
          <w:tcPr>
            <w:tcW w:w="4140" w:type="dxa"/>
          </w:tcPr>
          <w:p w:rsidR="00D714F5" w:rsidRDefault="00D714F5" w:rsidP="00D714F5">
            <w:pPr>
              <w:pStyle w:val="ToolTableText"/>
            </w:pPr>
            <w:r>
              <w:t>58 states have found a “large measure of agreement” regarding human rights</w:t>
            </w:r>
            <w:r w:rsidR="00293177">
              <w:t xml:space="preserve"> (par 12)</w:t>
            </w:r>
            <w:r>
              <w:t>.</w:t>
            </w:r>
          </w:p>
          <w:p w:rsidR="00D714F5" w:rsidRDefault="00D714F5" w:rsidP="00D714F5">
            <w:pPr>
              <w:pStyle w:val="ToolTableText"/>
            </w:pPr>
          </w:p>
          <w:p w:rsidR="00D714F5" w:rsidRDefault="00D714F5" w:rsidP="00D714F5">
            <w:pPr>
              <w:pStyle w:val="ToolTableText"/>
            </w:pPr>
          </w:p>
          <w:p w:rsidR="00D714F5" w:rsidRDefault="00D714F5" w:rsidP="00D714F5">
            <w:pPr>
              <w:pStyle w:val="ToolTableText"/>
            </w:pPr>
          </w:p>
          <w:p w:rsidR="00D714F5" w:rsidRDefault="00D714F5" w:rsidP="00D714F5">
            <w:pPr>
              <w:pStyle w:val="ToolTableText"/>
            </w:pPr>
            <w:r>
              <w:t xml:space="preserve">The document must reflect the UN’s “aspiration </w:t>
            </w:r>
            <w:r w:rsidR="00F70CEF">
              <w:t>. . .</w:t>
            </w:r>
            <w:r>
              <w:t xml:space="preserve"> to l</w:t>
            </w:r>
            <w:r w:rsidR="00EC19E0">
              <w:t>i</w:t>
            </w:r>
            <w:r>
              <w:t>ft men everywhere to a higher standard of life”</w:t>
            </w:r>
            <w:r w:rsidR="00AD23A4">
              <w:t xml:space="preserve"> (par. 12).</w:t>
            </w:r>
          </w:p>
          <w:p w:rsidR="00D714F5" w:rsidRDefault="00D714F5" w:rsidP="00D714F5">
            <w:pPr>
              <w:pStyle w:val="ToolTableText"/>
            </w:pPr>
          </w:p>
          <w:p w:rsidR="00113086" w:rsidRDefault="00113086" w:rsidP="00D714F5">
            <w:pPr>
              <w:pStyle w:val="ToolTableText"/>
            </w:pPr>
          </w:p>
          <w:p w:rsidR="00D714F5" w:rsidRDefault="00D714F5" w:rsidP="00D714F5">
            <w:pPr>
              <w:pStyle w:val="ToolTableText"/>
            </w:pPr>
            <w:r>
              <w:t xml:space="preserve">Realizing that “the flagrant violation of human rights by Nazi and Fascist countries sowed the seeds of the last world war” </w:t>
            </w:r>
            <w:r w:rsidR="00AD23A4">
              <w:t>(par</w:t>
            </w:r>
            <w:r w:rsidR="00C14B28">
              <w:t>.</w:t>
            </w:r>
            <w:r w:rsidR="00AD23A4">
              <w:t xml:space="preserve"> 12) </w:t>
            </w:r>
            <w:r>
              <w:t>makes it important for the UN to make a statement about human rights.</w:t>
            </w:r>
          </w:p>
        </w:tc>
        <w:tc>
          <w:tcPr>
            <w:tcW w:w="2340" w:type="dxa"/>
          </w:tcPr>
          <w:p w:rsidR="00C14B28" w:rsidRDefault="00D714F5" w:rsidP="00D714F5">
            <w:pPr>
              <w:pStyle w:val="ToolTableText"/>
            </w:pPr>
            <w:r>
              <w:t>The 58 states to which Roosevelt refers are all members of the UN</w:t>
            </w:r>
            <w:r w:rsidR="00C14B28">
              <w:t>,</w:t>
            </w:r>
            <w:r>
              <w:t xml:space="preserve"> and </w:t>
            </w:r>
            <w:r w:rsidR="00C14B28">
              <w:t xml:space="preserve">each </w:t>
            </w:r>
            <w:r>
              <w:t xml:space="preserve">will sign the document if </w:t>
            </w:r>
            <w:r w:rsidR="00C14B28">
              <w:t>it is adopted by the UN</w:t>
            </w:r>
            <w:r>
              <w:t>.</w:t>
            </w:r>
          </w:p>
          <w:p w:rsidR="00C14B28" w:rsidRDefault="00C14B28" w:rsidP="00D714F5">
            <w:pPr>
              <w:pStyle w:val="ToolTableText"/>
            </w:pPr>
          </w:p>
          <w:p w:rsidR="00D714F5" w:rsidRDefault="00D714F5" w:rsidP="00D714F5">
            <w:pPr>
              <w:pStyle w:val="ToolTableText"/>
            </w:pPr>
            <w:r>
              <w:t>Roosevelt directly refers to a document member nations have already signed.</w:t>
            </w:r>
          </w:p>
          <w:p w:rsidR="00D714F5" w:rsidRDefault="00D714F5" w:rsidP="00D714F5">
            <w:pPr>
              <w:pStyle w:val="ToolTableText"/>
            </w:pPr>
          </w:p>
          <w:p w:rsidR="00D714F5" w:rsidRDefault="00D714F5" w:rsidP="00D714F5">
            <w:pPr>
              <w:pStyle w:val="ToolTableText"/>
            </w:pPr>
            <w:r>
              <w:t>The listeners had just experienced the horrors of World War II and would be eager to avoid a similar situation.</w:t>
            </w:r>
          </w:p>
        </w:tc>
        <w:tc>
          <w:tcPr>
            <w:tcW w:w="2970" w:type="dxa"/>
            <w:gridSpan w:val="2"/>
          </w:tcPr>
          <w:p w:rsidR="00C14B28" w:rsidRDefault="00D714F5" w:rsidP="00D714F5">
            <w:pPr>
              <w:pStyle w:val="ToolTableText"/>
            </w:pPr>
            <w:r>
              <w:t>The evidence is sufficient; most listeners would recognize how much effort was needed to get 58 states to agree to a single document.</w:t>
            </w:r>
          </w:p>
          <w:p w:rsidR="00C14B28" w:rsidRDefault="00C14B28" w:rsidP="00D714F5">
            <w:pPr>
              <w:pStyle w:val="ToolTableText"/>
            </w:pPr>
          </w:p>
          <w:p w:rsidR="00C14B28" w:rsidRDefault="00C14B28" w:rsidP="00D714F5">
            <w:pPr>
              <w:pStyle w:val="ToolTableText"/>
            </w:pPr>
          </w:p>
          <w:p w:rsidR="00D714F5" w:rsidRDefault="00D714F5" w:rsidP="00D714F5">
            <w:pPr>
              <w:pStyle w:val="ToolTableText"/>
            </w:pPr>
            <w:r>
              <w:t>The evidence is sufficient because signing the Charter was a necessary part of joining the UN.</w:t>
            </w:r>
          </w:p>
          <w:p w:rsidR="00D714F5" w:rsidRDefault="00D714F5" w:rsidP="00D714F5">
            <w:pPr>
              <w:pStyle w:val="ToolTableText"/>
            </w:pPr>
          </w:p>
          <w:p w:rsidR="00D714F5" w:rsidRDefault="00D714F5" w:rsidP="00D714F5">
            <w:pPr>
              <w:pStyle w:val="ToolTableText"/>
            </w:pPr>
            <w:r>
              <w:t>World War II is a significant historical event that was in recent memory for Roosevelt’s’ listeners, so this evidence would have been sufficient for her listeners.</w:t>
            </w:r>
          </w:p>
        </w:tc>
      </w:tr>
      <w:tr w:rsidR="00D714F5" w:rsidRPr="005E5940" w:rsidTr="002B7F2E">
        <w:tc>
          <w:tcPr>
            <w:tcW w:w="6480" w:type="dxa"/>
            <w:gridSpan w:val="2"/>
            <w:shd w:val="clear" w:color="auto" w:fill="D9D9D9" w:themeFill="background1" w:themeFillShade="D9"/>
          </w:tcPr>
          <w:p w:rsidR="00D714F5" w:rsidRPr="005E5940" w:rsidRDefault="00D714F5" w:rsidP="00D714F5">
            <w:pPr>
              <w:pStyle w:val="ToolTableText"/>
              <w:rPr>
                <w:b/>
              </w:rPr>
            </w:pPr>
            <w:r w:rsidRPr="005E5940">
              <w:rPr>
                <w:b/>
              </w:rPr>
              <w:lastRenderedPageBreak/>
              <w:t>Reasoning:</w:t>
            </w:r>
          </w:p>
        </w:tc>
        <w:tc>
          <w:tcPr>
            <w:tcW w:w="2970" w:type="dxa"/>
            <w:gridSpan w:val="2"/>
            <w:shd w:val="clear" w:color="auto" w:fill="D9D9D9" w:themeFill="background1" w:themeFillShade="D9"/>
          </w:tcPr>
          <w:p w:rsidR="00D714F5" w:rsidRPr="005E5940" w:rsidRDefault="00D714F5" w:rsidP="00D714F5">
            <w:pPr>
              <w:pStyle w:val="ToolTableText"/>
              <w:rPr>
                <w:b/>
              </w:rPr>
            </w:pPr>
            <w:r w:rsidRPr="005E5940">
              <w:rPr>
                <w:b/>
              </w:rPr>
              <w:t>Explain whether the reasoning is valid:</w:t>
            </w:r>
          </w:p>
        </w:tc>
      </w:tr>
      <w:tr w:rsidR="00D714F5" w:rsidTr="002B7F2E">
        <w:tc>
          <w:tcPr>
            <w:tcW w:w="6480" w:type="dxa"/>
            <w:gridSpan w:val="2"/>
            <w:shd w:val="clear" w:color="auto" w:fill="FFFFFF" w:themeFill="background1"/>
          </w:tcPr>
          <w:p w:rsidR="00D714F5" w:rsidRDefault="00D714F5" w:rsidP="00D714F5">
            <w:pPr>
              <w:pStyle w:val="ToolTableText"/>
            </w:pPr>
            <w:r>
              <w:t>If 58 states have agreed to the contents of the document, it must contain principles that are universally recognized.</w:t>
            </w:r>
          </w:p>
          <w:p w:rsidR="00D714F5" w:rsidRDefault="00D714F5" w:rsidP="00D714F5">
            <w:pPr>
              <w:pStyle w:val="ToolTableText"/>
            </w:pPr>
          </w:p>
          <w:p w:rsidR="00D714F5" w:rsidRDefault="00D714F5" w:rsidP="00D714F5">
            <w:pPr>
              <w:pStyle w:val="ToolTableText"/>
            </w:pPr>
          </w:p>
          <w:p w:rsidR="00C14B28" w:rsidRDefault="00C14B28" w:rsidP="00D714F5">
            <w:pPr>
              <w:pStyle w:val="ToolTableText"/>
            </w:pPr>
          </w:p>
          <w:p w:rsidR="00D714F5" w:rsidRDefault="00D714F5" w:rsidP="00D714F5">
            <w:pPr>
              <w:pStyle w:val="ToolTableText"/>
            </w:pPr>
            <w:r>
              <w:t>The document merely supports what members have already agreed to in the Charter.</w:t>
            </w:r>
          </w:p>
          <w:p w:rsidR="00D714F5" w:rsidRDefault="00D714F5" w:rsidP="00D714F5">
            <w:pPr>
              <w:pStyle w:val="ToolTableText"/>
            </w:pPr>
          </w:p>
          <w:p w:rsidR="00D714F5" w:rsidRDefault="00D714F5" w:rsidP="00D714F5">
            <w:pPr>
              <w:pStyle w:val="ToolTableText"/>
            </w:pPr>
          </w:p>
          <w:p w:rsidR="00D714F5" w:rsidRDefault="00D714F5" w:rsidP="00D714F5">
            <w:pPr>
              <w:pStyle w:val="ToolTableText"/>
            </w:pPr>
            <w:r>
              <w:t>Signing the document will help avoid another experience like World War II.</w:t>
            </w:r>
          </w:p>
        </w:tc>
        <w:tc>
          <w:tcPr>
            <w:tcW w:w="2970" w:type="dxa"/>
            <w:gridSpan w:val="2"/>
            <w:shd w:val="clear" w:color="auto" w:fill="FFFFFF" w:themeFill="background1"/>
          </w:tcPr>
          <w:p w:rsidR="00C14B28" w:rsidRDefault="00D714F5" w:rsidP="00D714F5">
            <w:pPr>
              <w:pStyle w:val="ToolTableText"/>
            </w:pPr>
            <w:r>
              <w:t>The reasoning is valid because it reflects the work of many participants and reflects joint effort.</w:t>
            </w:r>
          </w:p>
          <w:p w:rsidR="00C14B28" w:rsidRDefault="00C14B28" w:rsidP="00D714F5">
            <w:pPr>
              <w:pStyle w:val="ToolTableText"/>
            </w:pPr>
          </w:p>
          <w:p w:rsidR="00D714F5" w:rsidRDefault="00D714F5" w:rsidP="00D714F5">
            <w:pPr>
              <w:pStyle w:val="ToolTableText"/>
            </w:pPr>
            <w:r>
              <w:t>The reasoning is valid; member could easily review the language of the two documents.</w:t>
            </w:r>
          </w:p>
          <w:p w:rsidR="00D714F5" w:rsidRDefault="00D714F5" w:rsidP="00D714F5">
            <w:pPr>
              <w:pStyle w:val="ToolTableText"/>
            </w:pPr>
          </w:p>
          <w:p w:rsidR="00D714F5" w:rsidRDefault="00D714F5" w:rsidP="007918F5">
            <w:pPr>
              <w:pStyle w:val="ToolTableText"/>
            </w:pPr>
            <w:r>
              <w:t xml:space="preserve">This reasoning is not valid; Roosevelt does not clearly establish a link between abusing human rights and World War </w:t>
            </w:r>
            <w:r w:rsidR="007918F5">
              <w:t>II</w:t>
            </w:r>
            <w:r>
              <w:t xml:space="preserve"> and some member nations might have identified other factors as more significant contributing causes.</w:t>
            </w:r>
          </w:p>
        </w:tc>
      </w:tr>
      <w:tr w:rsidR="00D714F5" w:rsidTr="002B7F2E">
        <w:tc>
          <w:tcPr>
            <w:tcW w:w="9450" w:type="dxa"/>
            <w:gridSpan w:val="4"/>
            <w:shd w:val="clear" w:color="auto" w:fill="D9D9D9" w:themeFill="background1" w:themeFillShade="D9"/>
          </w:tcPr>
          <w:p w:rsidR="00D714F5" w:rsidRDefault="00D714F5" w:rsidP="00D714F5">
            <w:pPr>
              <w:pStyle w:val="ToolTableText"/>
              <w:rPr>
                <w:b/>
              </w:rPr>
            </w:pPr>
            <w:r>
              <w:rPr>
                <w:b/>
              </w:rPr>
              <w:t>Supporting Claim:</w:t>
            </w:r>
          </w:p>
        </w:tc>
      </w:tr>
      <w:tr w:rsidR="00D714F5" w:rsidTr="002B7F2E">
        <w:tc>
          <w:tcPr>
            <w:tcW w:w="9450" w:type="dxa"/>
            <w:gridSpan w:val="4"/>
          </w:tcPr>
          <w:p w:rsidR="00D714F5" w:rsidRDefault="00D714F5" w:rsidP="00D714F5">
            <w:pPr>
              <w:pStyle w:val="ToolTableText"/>
            </w:pPr>
            <w:r>
              <w:t>“This Declaration is based upon the spiritual fact that man must have freedom</w:t>
            </w:r>
            <w:r w:rsidR="00AD23A4">
              <w:t>” (par. 14).</w:t>
            </w:r>
          </w:p>
        </w:tc>
      </w:tr>
      <w:tr w:rsidR="00D714F5" w:rsidRPr="005E5940" w:rsidTr="002B7F2E">
        <w:trPr>
          <w:trHeight w:val="656"/>
        </w:trPr>
        <w:tc>
          <w:tcPr>
            <w:tcW w:w="4140" w:type="dxa"/>
            <w:shd w:val="clear" w:color="auto" w:fill="D9D9D9" w:themeFill="background1" w:themeFillShade="D9"/>
          </w:tcPr>
          <w:p w:rsidR="00D714F5" w:rsidRPr="005E5940" w:rsidRDefault="00D714F5" w:rsidP="00D714F5">
            <w:pPr>
              <w:pStyle w:val="ToolTableText"/>
              <w:rPr>
                <w:b/>
              </w:rPr>
            </w:pPr>
            <w:r w:rsidRPr="005E5940">
              <w:rPr>
                <w:b/>
              </w:rPr>
              <w:t>Evidence:</w:t>
            </w:r>
          </w:p>
        </w:tc>
        <w:tc>
          <w:tcPr>
            <w:tcW w:w="2340" w:type="dxa"/>
            <w:shd w:val="clear" w:color="auto" w:fill="D9D9D9" w:themeFill="background1" w:themeFillShade="D9"/>
          </w:tcPr>
          <w:p w:rsidR="00D714F5" w:rsidRPr="005E5940" w:rsidRDefault="00D714F5" w:rsidP="00D714F5">
            <w:pPr>
              <w:pStyle w:val="ToolTableText"/>
              <w:rPr>
                <w:b/>
              </w:rPr>
            </w:pPr>
            <w:r w:rsidRPr="005E5940">
              <w:rPr>
                <w:b/>
              </w:rPr>
              <w:t>Explain how the evidence is relevant:</w:t>
            </w:r>
          </w:p>
        </w:tc>
        <w:tc>
          <w:tcPr>
            <w:tcW w:w="2970" w:type="dxa"/>
            <w:gridSpan w:val="2"/>
            <w:shd w:val="clear" w:color="auto" w:fill="D9D9D9" w:themeFill="background1" w:themeFillShade="D9"/>
          </w:tcPr>
          <w:p w:rsidR="00D714F5" w:rsidRPr="005E5940" w:rsidRDefault="00D714F5" w:rsidP="00D714F5">
            <w:pPr>
              <w:spacing w:line="240" w:lineRule="auto"/>
              <w:rPr>
                <w:b/>
              </w:rPr>
            </w:pPr>
            <w:r w:rsidRPr="005E5940">
              <w:rPr>
                <w:b/>
              </w:rPr>
              <w:t>Explain whether the evidence is sufficient:</w:t>
            </w:r>
          </w:p>
        </w:tc>
      </w:tr>
      <w:tr w:rsidR="00D714F5" w:rsidTr="002B7F2E">
        <w:trPr>
          <w:trHeight w:val="332"/>
        </w:trPr>
        <w:tc>
          <w:tcPr>
            <w:tcW w:w="4140" w:type="dxa"/>
          </w:tcPr>
          <w:p w:rsidR="00D714F5" w:rsidRDefault="00D714F5" w:rsidP="00D714F5">
            <w:pPr>
              <w:pStyle w:val="ToolTableText"/>
            </w:pPr>
            <w:r>
              <w:t>Gladstone Murray says “we are equal in sharing the moral freedom that distinguishes us as men”</w:t>
            </w:r>
            <w:r w:rsidR="00AD23A4">
              <w:t xml:space="preserve"> (par. 13).</w:t>
            </w:r>
          </w:p>
          <w:p w:rsidR="00D714F5" w:rsidRDefault="00D714F5" w:rsidP="00D714F5">
            <w:pPr>
              <w:pStyle w:val="ToolTableText"/>
            </w:pPr>
          </w:p>
          <w:p w:rsidR="00D714F5" w:rsidRDefault="00D714F5" w:rsidP="00D714F5">
            <w:pPr>
              <w:pStyle w:val="ToolTableText"/>
            </w:pPr>
          </w:p>
          <w:p w:rsidR="00D714F5" w:rsidRDefault="00D714F5" w:rsidP="00D714F5">
            <w:pPr>
              <w:pStyle w:val="ToolTableText"/>
            </w:pPr>
          </w:p>
          <w:p w:rsidR="00C14B28" w:rsidRDefault="00C14B28" w:rsidP="007918F5">
            <w:pPr>
              <w:pStyle w:val="ToolTableText"/>
            </w:pPr>
          </w:p>
          <w:p w:rsidR="00113086" w:rsidRDefault="00113086" w:rsidP="007918F5">
            <w:pPr>
              <w:pStyle w:val="ToolTableText"/>
            </w:pPr>
          </w:p>
          <w:p w:rsidR="00113086" w:rsidRDefault="00113086" w:rsidP="007918F5">
            <w:pPr>
              <w:pStyle w:val="ToolTableText"/>
            </w:pPr>
          </w:p>
          <w:p w:rsidR="00113086" w:rsidRDefault="00113086" w:rsidP="007918F5">
            <w:pPr>
              <w:pStyle w:val="ToolTableText"/>
            </w:pPr>
          </w:p>
          <w:p w:rsidR="00C14B28" w:rsidRDefault="00C14B28" w:rsidP="007918F5">
            <w:pPr>
              <w:pStyle w:val="ToolTableText"/>
            </w:pPr>
          </w:p>
          <w:p w:rsidR="00D714F5" w:rsidRDefault="00D714F5" w:rsidP="007918F5">
            <w:pPr>
              <w:pStyle w:val="ToolTableText"/>
            </w:pPr>
            <w:r>
              <w:t>“The Declaration is based upon the spiritual fact that man must have freedom”</w:t>
            </w:r>
            <w:r w:rsidR="00AD23A4">
              <w:t xml:space="preserve"> (par. 14).</w:t>
            </w:r>
          </w:p>
        </w:tc>
        <w:tc>
          <w:tcPr>
            <w:tcW w:w="2340" w:type="dxa"/>
          </w:tcPr>
          <w:p w:rsidR="00D714F5" w:rsidRDefault="00D714F5" w:rsidP="00D714F5">
            <w:pPr>
              <w:pStyle w:val="ToolTableText"/>
            </w:pPr>
            <w:r>
              <w:lastRenderedPageBreak/>
              <w:t>Murray was a recognized statesman at the time.</w:t>
            </w:r>
          </w:p>
          <w:p w:rsidR="00D714F5" w:rsidRDefault="00D714F5" w:rsidP="00D714F5">
            <w:pPr>
              <w:pStyle w:val="ToolTableText"/>
            </w:pPr>
          </w:p>
          <w:p w:rsidR="00D714F5" w:rsidRDefault="00D714F5" w:rsidP="00D714F5">
            <w:pPr>
              <w:pStyle w:val="ToolTableText"/>
            </w:pPr>
          </w:p>
          <w:p w:rsidR="00D714F5" w:rsidRDefault="00D714F5" w:rsidP="00D714F5">
            <w:pPr>
              <w:pStyle w:val="ToolTableText"/>
            </w:pPr>
          </w:p>
          <w:p w:rsidR="00C14B28" w:rsidRDefault="00C14B28" w:rsidP="00D714F5">
            <w:pPr>
              <w:pStyle w:val="ToolTableText"/>
            </w:pPr>
          </w:p>
          <w:p w:rsidR="00113086" w:rsidRDefault="00113086" w:rsidP="00D714F5">
            <w:pPr>
              <w:pStyle w:val="ToolTableText"/>
            </w:pPr>
          </w:p>
          <w:p w:rsidR="00113086" w:rsidRDefault="00113086" w:rsidP="00D714F5">
            <w:pPr>
              <w:pStyle w:val="ToolTableText"/>
            </w:pPr>
          </w:p>
          <w:p w:rsidR="00113086" w:rsidRDefault="00113086" w:rsidP="00D714F5">
            <w:pPr>
              <w:pStyle w:val="ToolTableText"/>
            </w:pPr>
          </w:p>
          <w:p w:rsidR="00C14B28" w:rsidRDefault="00C14B28" w:rsidP="00D714F5">
            <w:pPr>
              <w:pStyle w:val="ToolTableText"/>
            </w:pPr>
          </w:p>
          <w:p w:rsidR="00D714F5" w:rsidRDefault="00D714F5" w:rsidP="00D714F5">
            <w:pPr>
              <w:pStyle w:val="ToolTableText"/>
            </w:pPr>
            <w:r>
              <w:t>If freedom is a necessary element for man to develop his full stature, then the UDHR works to ensure that everyone has the necessary freedom.</w:t>
            </w:r>
          </w:p>
        </w:tc>
        <w:tc>
          <w:tcPr>
            <w:tcW w:w="2970" w:type="dxa"/>
            <w:gridSpan w:val="2"/>
          </w:tcPr>
          <w:p w:rsidR="00D714F5" w:rsidRDefault="00D714F5" w:rsidP="00D714F5">
            <w:pPr>
              <w:pStyle w:val="ToolTableText"/>
            </w:pPr>
            <w:r>
              <w:lastRenderedPageBreak/>
              <w:t xml:space="preserve">The evidence is sufficient because Murray’s status would have </w:t>
            </w:r>
            <w:r w:rsidR="00725D51">
              <w:t>lent</w:t>
            </w:r>
            <w:r>
              <w:t xml:space="preserve"> support to Roosevelt’s position.</w:t>
            </w:r>
          </w:p>
          <w:p w:rsidR="00D714F5" w:rsidRDefault="00D714F5" w:rsidP="00D714F5">
            <w:pPr>
              <w:pStyle w:val="ToolTableText"/>
            </w:pPr>
            <w:r>
              <w:t>OR</w:t>
            </w:r>
          </w:p>
          <w:p w:rsidR="00D714F5" w:rsidRDefault="00D714F5" w:rsidP="00D714F5">
            <w:pPr>
              <w:pStyle w:val="ToolTableText"/>
            </w:pPr>
            <w:r>
              <w:t>The evidence is not sufficient because Murray’s words might have been taken out of context.</w:t>
            </w:r>
          </w:p>
          <w:p w:rsidR="00D714F5" w:rsidRDefault="00D714F5" w:rsidP="00D714F5">
            <w:pPr>
              <w:pStyle w:val="ToolTableText"/>
            </w:pPr>
            <w:r>
              <w:t>“Spiritual facts” are not evidence because they cannot be proven.</w:t>
            </w:r>
          </w:p>
        </w:tc>
      </w:tr>
      <w:tr w:rsidR="00D714F5" w:rsidRPr="005E5940" w:rsidTr="002B7F2E">
        <w:tc>
          <w:tcPr>
            <w:tcW w:w="6480" w:type="dxa"/>
            <w:gridSpan w:val="2"/>
            <w:shd w:val="clear" w:color="auto" w:fill="D9D9D9" w:themeFill="background1" w:themeFillShade="D9"/>
          </w:tcPr>
          <w:p w:rsidR="00D714F5" w:rsidRPr="005E5940" w:rsidRDefault="00D714F5" w:rsidP="00D714F5">
            <w:pPr>
              <w:pStyle w:val="ToolTableText"/>
              <w:rPr>
                <w:b/>
              </w:rPr>
            </w:pPr>
            <w:r w:rsidRPr="005E5940">
              <w:rPr>
                <w:b/>
              </w:rPr>
              <w:lastRenderedPageBreak/>
              <w:t>Reasoning:</w:t>
            </w:r>
          </w:p>
        </w:tc>
        <w:tc>
          <w:tcPr>
            <w:tcW w:w="2970" w:type="dxa"/>
            <w:gridSpan w:val="2"/>
            <w:shd w:val="clear" w:color="auto" w:fill="D9D9D9" w:themeFill="background1" w:themeFillShade="D9"/>
          </w:tcPr>
          <w:p w:rsidR="00D714F5" w:rsidRPr="005E5940" w:rsidRDefault="00D714F5" w:rsidP="00D714F5">
            <w:pPr>
              <w:pStyle w:val="ToolTableText"/>
              <w:rPr>
                <w:b/>
              </w:rPr>
            </w:pPr>
            <w:r w:rsidRPr="005E5940">
              <w:rPr>
                <w:b/>
              </w:rPr>
              <w:t>Explain whether the reasoning is valid:</w:t>
            </w:r>
          </w:p>
        </w:tc>
      </w:tr>
      <w:tr w:rsidR="00D714F5" w:rsidTr="002B7F2E">
        <w:tc>
          <w:tcPr>
            <w:tcW w:w="6480" w:type="dxa"/>
            <w:gridSpan w:val="2"/>
            <w:shd w:val="clear" w:color="auto" w:fill="FFFFFF" w:themeFill="background1"/>
          </w:tcPr>
          <w:p w:rsidR="00D714F5" w:rsidRDefault="00D714F5" w:rsidP="00D714F5">
            <w:pPr>
              <w:pStyle w:val="ToolTableText"/>
            </w:pPr>
            <w:r>
              <w:t>Roosevelt appeals to authority (the words of a respected statesman) and facts.</w:t>
            </w:r>
          </w:p>
        </w:tc>
        <w:tc>
          <w:tcPr>
            <w:tcW w:w="2970" w:type="dxa"/>
            <w:gridSpan w:val="2"/>
            <w:shd w:val="clear" w:color="auto" w:fill="FFFFFF" w:themeFill="background1"/>
          </w:tcPr>
          <w:p w:rsidR="00D714F5" w:rsidRDefault="00D714F5" w:rsidP="00D714F5">
            <w:pPr>
              <w:pStyle w:val="ToolTableText"/>
            </w:pPr>
            <w:r>
              <w:t>The reasoning is not valid because it is not clear in what context Gladstone was speaking and spiritual facts cannot be proven.</w:t>
            </w:r>
          </w:p>
        </w:tc>
      </w:tr>
      <w:tr w:rsidR="00D714F5" w:rsidTr="002B7F2E">
        <w:tc>
          <w:tcPr>
            <w:tcW w:w="9450" w:type="dxa"/>
            <w:gridSpan w:val="4"/>
            <w:shd w:val="clear" w:color="auto" w:fill="D9D9D9" w:themeFill="background1" w:themeFillShade="D9"/>
          </w:tcPr>
          <w:p w:rsidR="00D714F5" w:rsidRDefault="00D714F5" w:rsidP="00D714F5">
            <w:pPr>
              <w:pStyle w:val="ToolTableText"/>
              <w:rPr>
                <w:b/>
              </w:rPr>
            </w:pPr>
            <w:r>
              <w:rPr>
                <w:b/>
              </w:rPr>
              <w:t>Supporting Claim:</w:t>
            </w:r>
          </w:p>
        </w:tc>
      </w:tr>
      <w:tr w:rsidR="00D714F5" w:rsidTr="002B7F2E">
        <w:tc>
          <w:tcPr>
            <w:tcW w:w="9450" w:type="dxa"/>
            <w:gridSpan w:val="4"/>
          </w:tcPr>
          <w:p w:rsidR="00D714F5" w:rsidRDefault="00D714F5" w:rsidP="00D714F5">
            <w:pPr>
              <w:pStyle w:val="ToolTableText"/>
            </w:pPr>
            <w:r>
              <w:t>Secretary of UN, Marshall, called on General Assembly to approve the UDHR.</w:t>
            </w:r>
          </w:p>
        </w:tc>
      </w:tr>
      <w:tr w:rsidR="00D714F5" w:rsidRPr="005E5940" w:rsidTr="002B7F2E">
        <w:trPr>
          <w:trHeight w:val="656"/>
        </w:trPr>
        <w:tc>
          <w:tcPr>
            <w:tcW w:w="4140" w:type="dxa"/>
            <w:shd w:val="clear" w:color="auto" w:fill="D9D9D9" w:themeFill="background1" w:themeFillShade="D9"/>
          </w:tcPr>
          <w:p w:rsidR="00D714F5" w:rsidRPr="005E5940" w:rsidRDefault="00D714F5" w:rsidP="00D714F5">
            <w:pPr>
              <w:pStyle w:val="ToolTableText"/>
              <w:rPr>
                <w:b/>
              </w:rPr>
            </w:pPr>
            <w:r w:rsidRPr="005E5940">
              <w:rPr>
                <w:b/>
              </w:rPr>
              <w:t>Evidence:</w:t>
            </w:r>
          </w:p>
        </w:tc>
        <w:tc>
          <w:tcPr>
            <w:tcW w:w="2340" w:type="dxa"/>
            <w:shd w:val="clear" w:color="auto" w:fill="D9D9D9" w:themeFill="background1" w:themeFillShade="D9"/>
          </w:tcPr>
          <w:p w:rsidR="00D714F5" w:rsidRPr="005E5940" w:rsidRDefault="00D714F5" w:rsidP="00D714F5">
            <w:pPr>
              <w:pStyle w:val="ToolTableText"/>
              <w:rPr>
                <w:b/>
              </w:rPr>
            </w:pPr>
            <w:r w:rsidRPr="005E5940">
              <w:rPr>
                <w:b/>
              </w:rPr>
              <w:t>Explain how the evidence is relevant:</w:t>
            </w:r>
          </w:p>
        </w:tc>
        <w:tc>
          <w:tcPr>
            <w:tcW w:w="2970" w:type="dxa"/>
            <w:gridSpan w:val="2"/>
            <w:shd w:val="clear" w:color="auto" w:fill="D9D9D9" w:themeFill="background1" w:themeFillShade="D9"/>
          </w:tcPr>
          <w:p w:rsidR="00D714F5" w:rsidRPr="005E5940" w:rsidRDefault="00D714F5" w:rsidP="00D714F5">
            <w:pPr>
              <w:spacing w:line="240" w:lineRule="auto"/>
              <w:rPr>
                <w:b/>
              </w:rPr>
            </w:pPr>
            <w:r w:rsidRPr="005E5940">
              <w:rPr>
                <w:b/>
              </w:rPr>
              <w:t>Explain whether the evidence is sufficient:</w:t>
            </w:r>
          </w:p>
        </w:tc>
      </w:tr>
      <w:tr w:rsidR="00D714F5" w:rsidTr="002B7F2E">
        <w:trPr>
          <w:trHeight w:val="332"/>
        </w:trPr>
        <w:tc>
          <w:tcPr>
            <w:tcW w:w="4140" w:type="dxa"/>
          </w:tcPr>
          <w:p w:rsidR="00D714F5" w:rsidRDefault="00D714F5" w:rsidP="00D714F5">
            <w:pPr>
              <w:pStyle w:val="ToolTableText"/>
            </w:pPr>
            <w:r>
              <w:t>Language from Marshall’s opening statement.</w:t>
            </w:r>
          </w:p>
        </w:tc>
        <w:tc>
          <w:tcPr>
            <w:tcW w:w="2340" w:type="dxa"/>
          </w:tcPr>
          <w:p w:rsidR="00D714F5" w:rsidRDefault="00D714F5" w:rsidP="00D714F5">
            <w:pPr>
              <w:pStyle w:val="ToolTableText"/>
            </w:pPr>
            <w:r>
              <w:t>Marshall is secretary of the UN.</w:t>
            </w:r>
          </w:p>
        </w:tc>
        <w:tc>
          <w:tcPr>
            <w:tcW w:w="2970" w:type="dxa"/>
            <w:gridSpan w:val="2"/>
          </w:tcPr>
          <w:p w:rsidR="00D714F5" w:rsidRDefault="00D714F5" w:rsidP="00D714F5">
            <w:pPr>
              <w:pStyle w:val="ToolTableText"/>
            </w:pPr>
            <w:r>
              <w:t>Marshall’s position and clear statement is sufficient evidence.</w:t>
            </w:r>
          </w:p>
        </w:tc>
      </w:tr>
      <w:tr w:rsidR="00D714F5" w:rsidRPr="005E5940" w:rsidTr="002B7F2E">
        <w:tc>
          <w:tcPr>
            <w:tcW w:w="6480" w:type="dxa"/>
            <w:gridSpan w:val="2"/>
            <w:shd w:val="clear" w:color="auto" w:fill="D9D9D9" w:themeFill="background1" w:themeFillShade="D9"/>
          </w:tcPr>
          <w:p w:rsidR="00D714F5" w:rsidRPr="005E5940" w:rsidRDefault="00D714F5" w:rsidP="00D714F5">
            <w:pPr>
              <w:pStyle w:val="ToolTableText"/>
              <w:rPr>
                <w:b/>
              </w:rPr>
            </w:pPr>
            <w:r w:rsidRPr="005E5940">
              <w:rPr>
                <w:b/>
              </w:rPr>
              <w:t>Reasoning:</w:t>
            </w:r>
          </w:p>
        </w:tc>
        <w:tc>
          <w:tcPr>
            <w:tcW w:w="2970" w:type="dxa"/>
            <w:gridSpan w:val="2"/>
            <w:shd w:val="clear" w:color="auto" w:fill="D9D9D9" w:themeFill="background1" w:themeFillShade="D9"/>
          </w:tcPr>
          <w:p w:rsidR="00D714F5" w:rsidRPr="005E5940" w:rsidRDefault="00D714F5" w:rsidP="00D714F5">
            <w:pPr>
              <w:pStyle w:val="ToolTableText"/>
              <w:rPr>
                <w:b/>
              </w:rPr>
            </w:pPr>
            <w:r w:rsidRPr="005E5940">
              <w:rPr>
                <w:b/>
              </w:rPr>
              <w:t>Explain whether the reasoning is valid:</w:t>
            </w:r>
          </w:p>
        </w:tc>
      </w:tr>
      <w:tr w:rsidR="00D714F5" w:rsidTr="002B7F2E">
        <w:tc>
          <w:tcPr>
            <w:tcW w:w="6480" w:type="dxa"/>
            <w:gridSpan w:val="2"/>
            <w:shd w:val="clear" w:color="auto" w:fill="FFFFFF" w:themeFill="background1"/>
          </w:tcPr>
          <w:p w:rsidR="00D714F5" w:rsidRDefault="00D714F5" w:rsidP="00C14B28">
            <w:pPr>
              <w:pStyle w:val="ToolTableText"/>
            </w:pPr>
            <w:r>
              <w:t xml:space="preserve">Roosevelt uses an appeal to reason by citing the words of the </w:t>
            </w:r>
            <w:r w:rsidR="00C14B28">
              <w:t>s</w:t>
            </w:r>
            <w:r>
              <w:t>ecretary of the UN.</w:t>
            </w:r>
          </w:p>
        </w:tc>
        <w:tc>
          <w:tcPr>
            <w:tcW w:w="2970" w:type="dxa"/>
            <w:gridSpan w:val="2"/>
            <w:shd w:val="clear" w:color="auto" w:fill="FFFFFF" w:themeFill="background1"/>
          </w:tcPr>
          <w:p w:rsidR="00D714F5" w:rsidRDefault="00D714F5" w:rsidP="00D714F5">
            <w:pPr>
              <w:pStyle w:val="ToolTableText"/>
            </w:pPr>
            <w:r>
              <w:t>This reasoning is valid; Marshall has a position of authority and respect within the organization Roosevelt is addressing.</w:t>
            </w:r>
          </w:p>
        </w:tc>
      </w:tr>
    </w:tbl>
    <w:p w:rsidR="007918F5" w:rsidRDefault="007918F5" w:rsidP="00BB3301">
      <w:pPr>
        <w:pStyle w:val="ToolHeader"/>
      </w:pPr>
    </w:p>
    <w:p w:rsidR="007918F5" w:rsidRDefault="007918F5">
      <w:pPr>
        <w:spacing w:before="0" w:after="0" w:line="240" w:lineRule="auto"/>
        <w:sectPr w:rsidR="007918F5">
          <w:headerReference w:type="default" r:id="rId12"/>
          <w:footerReference w:type="even" r:id="rId13"/>
          <w:footerReference w:type="default" r:id="rId14"/>
          <w:pgSz w:w="12240" w:h="15840"/>
          <w:pgMar w:top="1440" w:right="1440" w:bottom="1440" w:left="1440" w:header="432" w:footer="648" w:gutter="0"/>
          <w:cols w:space="720"/>
          <w:docGrid w:linePitch="299"/>
        </w:sectPr>
      </w:pPr>
    </w:p>
    <w:p w:rsidR="00BB3301" w:rsidRDefault="00BB3301" w:rsidP="00BB3301">
      <w:pPr>
        <w:pStyle w:val="ToolHeader"/>
      </w:pPr>
      <w:r>
        <w:lastRenderedPageBreak/>
        <w:t xml:space="preserve">Model Rhetorical </w:t>
      </w:r>
      <w:r w:rsidR="00296255">
        <w:t>Impact</w:t>
      </w:r>
      <w:r>
        <w:t xml:space="preserve"> Tracking Tool</w:t>
      </w:r>
    </w:p>
    <w:tbl>
      <w:tblPr>
        <w:tblStyle w:val="TableGrid"/>
        <w:tblW w:w="0" w:type="auto"/>
        <w:tblInd w:w="126" w:type="dxa"/>
        <w:tblLook w:val="04A0"/>
      </w:tblPr>
      <w:tblGrid>
        <w:gridCol w:w="821"/>
        <w:gridCol w:w="4201"/>
        <w:gridCol w:w="900"/>
        <w:gridCol w:w="4055"/>
        <w:gridCol w:w="719"/>
        <w:gridCol w:w="2246"/>
      </w:tblGrid>
      <w:tr w:rsidR="002B7F2E" w:rsidRPr="00707670" w:rsidTr="002B7F2E">
        <w:trPr>
          <w:trHeight w:val="557"/>
        </w:trPr>
        <w:tc>
          <w:tcPr>
            <w:tcW w:w="821" w:type="dxa"/>
            <w:shd w:val="clear" w:color="auto" w:fill="D9D9D9" w:themeFill="background1" w:themeFillShade="D9"/>
            <w:vAlign w:val="center"/>
          </w:tcPr>
          <w:p w:rsidR="002B7F2E" w:rsidRPr="00707670" w:rsidRDefault="002B7F2E" w:rsidP="00BB3301">
            <w:pPr>
              <w:pStyle w:val="TableText"/>
              <w:rPr>
                <w:b/>
              </w:rPr>
            </w:pPr>
            <w:r w:rsidRPr="00707670">
              <w:rPr>
                <w:b/>
              </w:rPr>
              <w:t>Name:</w:t>
            </w:r>
          </w:p>
        </w:tc>
        <w:tc>
          <w:tcPr>
            <w:tcW w:w="4201" w:type="dxa"/>
            <w:vAlign w:val="center"/>
          </w:tcPr>
          <w:p w:rsidR="002B7F2E" w:rsidRPr="00707670" w:rsidRDefault="002B7F2E" w:rsidP="00BB3301">
            <w:pPr>
              <w:pStyle w:val="TableText"/>
              <w:rPr>
                <w:b/>
              </w:rPr>
            </w:pPr>
          </w:p>
        </w:tc>
        <w:tc>
          <w:tcPr>
            <w:tcW w:w="900" w:type="dxa"/>
            <w:shd w:val="clear" w:color="auto" w:fill="D9D9D9" w:themeFill="background1" w:themeFillShade="D9"/>
            <w:vAlign w:val="center"/>
          </w:tcPr>
          <w:p w:rsidR="002B7F2E" w:rsidRPr="00707670" w:rsidRDefault="002B7F2E" w:rsidP="002B7F2E">
            <w:pPr>
              <w:pStyle w:val="TableText"/>
              <w:rPr>
                <w:b/>
              </w:rPr>
            </w:pPr>
            <w:r w:rsidRPr="00707670">
              <w:rPr>
                <w:b/>
              </w:rPr>
              <w:t>Class:</w:t>
            </w:r>
          </w:p>
        </w:tc>
        <w:tc>
          <w:tcPr>
            <w:tcW w:w="4055" w:type="dxa"/>
            <w:vAlign w:val="center"/>
          </w:tcPr>
          <w:p w:rsidR="002B7F2E" w:rsidRPr="00707670" w:rsidRDefault="002B7F2E" w:rsidP="00BB3301">
            <w:pPr>
              <w:pStyle w:val="TableText"/>
              <w:rPr>
                <w:b/>
              </w:rPr>
            </w:pPr>
          </w:p>
        </w:tc>
        <w:tc>
          <w:tcPr>
            <w:tcW w:w="719" w:type="dxa"/>
            <w:shd w:val="clear" w:color="auto" w:fill="D9D9D9" w:themeFill="background1" w:themeFillShade="D9"/>
            <w:vAlign w:val="center"/>
          </w:tcPr>
          <w:p w:rsidR="002B7F2E" w:rsidRPr="00707670" w:rsidRDefault="002B7F2E" w:rsidP="00BB3301">
            <w:pPr>
              <w:pStyle w:val="TableText"/>
              <w:rPr>
                <w:b/>
              </w:rPr>
            </w:pPr>
            <w:r w:rsidRPr="00707670">
              <w:rPr>
                <w:b/>
              </w:rPr>
              <w:t>Date:</w:t>
            </w:r>
          </w:p>
        </w:tc>
        <w:tc>
          <w:tcPr>
            <w:tcW w:w="2246" w:type="dxa"/>
            <w:vAlign w:val="center"/>
          </w:tcPr>
          <w:p w:rsidR="002B7F2E" w:rsidRPr="00707670" w:rsidRDefault="002B7F2E" w:rsidP="00BB3301">
            <w:pPr>
              <w:pStyle w:val="TableText"/>
              <w:rPr>
                <w:b/>
              </w:rPr>
            </w:pPr>
          </w:p>
        </w:tc>
      </w:tr>
    </w:tbl>
    <w:p w:rsidR="00AD23A4" w:rsidRPr="00593992" w:rsidRDefault="00AD23A4" w:rsidP="006E314B">
      <w:pPr>
        <w:spacing w:before="0" w:after="0"/>
        <w:rPr>
          <w:sz w:val="10"/>
          <w:szCs w:val="16"/>
        </w:rPr>
      </w:pPr>
    </w:p>
    <w:tbl>
      <w:tblPr>
        <w:tblStyle w:val="TableGrid"/>
        <w:tblW w:w="0" w:type="auto"/>
        <w:tblInd w:w="126" w:type="dxa"/>
        <w:tblLook w:val="04A0"/>
      </w:tblPr>
      <w:tblGrid>
        <w:gridCol w:w="12924"/>
      </w:tblGrid>
      <w:tr w:rsidR="006F7CF7" w:rsidRPr="00707670">
        <w:trPr>
          <w:trHeight w:val="562"/>
        </w:trPr>
        <w:tc>
          <w:tcPr>
            <w:tcW w:w="12924" w:type="dxa"/>
            <w:shd w:val="clear" w:color="auto" w:fill="D9D9D9" w:themeFill="background1" w:themeFillShade="D9"/>
            <w:vAlign w:val="center"/>
          </w:tcPr>
          <w:p w:rsidR="006F7CF7" w:rsidRPr="006F7CF7" w:rsidRDefault="006F7CF7" w:rsidP="00EC6037">
            <w:pPr>
              <w:pStyle w:val="ToolTableText"/>
              <w:rPr>
                <w:b/>
              </w:rPr>
            </w:pPr>
            <w:r>
              <w:rPr>
                <w:b/>
              </w:rPr>
              <w:t>Directions</w:t>
            </w:r>
            <w:r w:rsidRPr="00C1224F">
              <w:rPr>
                <w:b/>
              </w:rPr>
              <w:t>:</w:t>
            </w:r>
            <w:r>
              <w:rPr>
                <w:b/>
              </w:rPr>
              <w:t xml:space="preserve"> </w:t>
            </w:r>
            <w:r w:rsidRPr="006F7CF7">
              <w:t>In column 1, identify and record the author’s use of a rhetorical device. If the device is new to you, record a definition in column 1 as well. In column 2, record the example of the rhetorical device from the text. (Include a paragraph or page reference.) In column 3, record the impact of the rhetorical device on the author’s point of view or purpose.</w:t>
            </w:r>
          </w:p>
        </w:tc>
      </w:tr>
    </w:tbl>
    <w:p w:rsidR="003D118C" w:rsidRPr="00593992" w:rsidRDefault="003D118C" w:rsidP="006E314B">
      <w:pPr>
        <w:spacing w:before="0" w:after="0"/>
        <w:rPr>
          <w:sz w:val="10"/>
          <w:szCs w:val="16"/>
        </w:rPr>
      </w:pPr>
    </w:p>
    <w:tbl>
      <w:tblPr>
        <w:tblStyle w:val="TableGrid"/>
        <w:tblW w:w="0" w:type="auto"/>
        <w:tblInd w:w="108" w:type="dxa"/>
        <w:tblLook w:val="04A0"/>
      </w:tblPr>
      <w:tblGrid>
        <w:gridCol w:w="720"/>
        <w:gridCol w:w="12240"/>
      </w:tblGrid>
      <w:tr w:rsidR="00F062D8" w:rsidRPr="00707670">
        <w:trPr>
          <w:trHeight w:val="557"/>
        </w:trPr>
        <w:tc>
          <w:tcPr>
            <w:tcW w:w="720" w:type="dxa"/>
            <w:shd w:val="clear" w:color="auto" w:fill="D9D9D9" w:themeFill="background1" w:themeFillShade="D9"/>
            <w:vAlign w:val="center"/>
          </w:tcPr>
          <w:p w:rsidR="00F062D8" w:rsidRPr="00EE7A75" w:rsidRDefault="00F062D8" w:rsidP="00F062D8">
            <w:pPr>
              <w:pStyle w:val="TableText"/>
              <w:rPr>
                <w:b/>
                <w:i/>
              </w:rPr>
            </w:pPr>
            <w:r>
              <w:rPr>
                <w:b/>
              </w:rPr>
              <w:t>Text</w:t>
            </w:r>
            <w:r w:rsidRPr="00707670">
              <w:rPr>
                <w:b/>
              </w:rPr>
              <w:t>:</w:t>
            </w:r>
            <w:r>
              <w:rPr>
                <w:b/>
              </w:rPr>
              <w:t xml:space="preserve"> </w:t>
            </w:r>
          </w:p>
        </w:tc>
        <w:tc>
          <w:tcPr>
            <w:tcW w:w="12240" w:type="dxa"/>
            <w:shd w:val="clear" w:color="auto" w:fill="auto"/>
            <w:vAlign w:val="center"/>
          </w:tcPr>
          <w:p w:rsidR="00F062D8" w:rsidRPr="000812CF" w:rsidRDefault="00F062D8" w:rsidP="00BB3301">
            <w:pPr>
              <w:pStyle w:val="TableText"/>
              <w:rPr>
                <w:i/>
              </w:rPr>
            </w:pPr>
            <w:r w:rsidRPr="000812CF">
              <w:t>“Address to the United Nations Youth Assembly”</w:t>
            </w:r>
          </w:p>
        </w:tc>
      </w:tr>
    </w:tbl>
    <w:p w:rsidR="002B7F2E" w:rsidRPr="002B7F2E" w:rsidRDefault="002B7F2E" w:rsidP="002B7F2E">
      <w:pPr>
        <w:spacing w:before="0" w:after="0"/>
        <w:rPr>
          <w:sz w:val="10"/>
        </w:rPr>
      </w:pPr>
    </w:p>
    <w:tbl>
      <w:tblPr>
        <w:tblStyle w:val="TableGrid"/>
        <w:tblW w:w="0" w:type="auto"/>
        <w:tblInd w:w="108" w:type="dxa"/>
        <w:tblLook w:val="04A0"/>
      </w:tblPr>
      <w:tblGrid>
        <w:gridCol w:w="12960"/>
      </w:tblGrid>
      <w:tr w:rsidR="00BF3A5B" w:rsidRPr="00646088">
        <w:tc>
          <w:tcPr>
            <w:tcW w:w="12960" w:type="dxa"/>
            <w:shd w:val="clear" w:color="auto" w:fill="D9D9D9" w:themeFill="background1" w:themeFillShade="D9"/>
          </w:tcPr>
          <w:p w:rsidR="00BF3A5B" w:rsidRPr="002D3209" w:rsidRDefault="00BF3A5B" w:rsidP="00DF5902">
            <w:pPr>
              <w:pStyle w:val="ToolTableText"/>
            </w:pPr>
            <w:r>
              <w:t xml:space="preserve">RI.9-10.6: </w:t>
            </w:r>
            <w:r w:rsidRPr="00CB1483">
              <w:t>Determine an author’s point of view or purpose in a text and analyze how an author uses rhetoric to advance that point of view or purpose.</w:t>
            </w:r>
          </w:p>
        </w:tc>
      </w:tr>
    </w:tbl>
    <w:p w:rsidR="00593992" w:rsidRPr="00593992" w:rsidRDefault="00593992" w:rsidP="00593992">
      <w:pPr>
        <w:spacing w:before="0" w:after="0"/>
        <w:rPr>
          <w:sz w:val="10"/>
          <w:szCs w:val="16"/>
        </w:rPr>
      </w:pPr>
    </w:p>
    <w:tbl>
      <w:tblPr>
        <w:tblStyle w:val="TableGrid"/>
        <w:tblW w:w="0" w:type="auto"/>
        <w:tblInd w:w="108" w:type="dxa"/>
        <w:tblLook w:val="04A0"/>
      </w:tblPr>
      <w:tblGrid>
        <w:gridCol w:w="1713"/>
        <w:gridCol w:w="5616"/>
        <w:gridCol w:w="5616"/>
        <w:gridCol w:w="15"/>
      </w:tblGrid>
      <w:tr w:rsidR="00BF3A5B" w:rsidRPr="002A4DA0">
        <w:trPr>
          <w:gridAfter w:val="1"/>
          <w:wAfter w:w="15" w:type="dxa"/>
          <w:tblHeader/>
        </w:trPr>
        <w:tc>
          <w:tcPr>
            <w:tcW w:w="1713" w:type="dxa"/>
            <w:tcBorders>
              <w:bottom w:val="single" w:sz="4" w:space="0" w:color="auto"/>
            </w:tcBorders>
            <w:shd w:val="clear" w:color="auto" w:fill="D9D9D9"/>
            <w:vAlign w:val="bottom"/>
          </w:tcPr>
          <w:p w:rsidR="00BF3A5B" w:rsidRPr="002A4DA0" w:rsidRDefault="00BF3A5B" w:rsidP="002A4DA0">
            <w:pPr>
              <w:pStyle w:val="ToolTableText"/>
              <w:rPr>
                <w:b/>
              </w:rPr>
            </w:pPr>
            <w:r w:rsidRPr="002A4DA0">
              <w:rPr>
                <w:b/>
              </w:rPr>
              <w:t>Rhetorical device and definition</w:t>
            </w:r>
          </w:p>
        </w:tc>
        <w:tc>
          <w:tcPr>
            <w:tcW w:w="5616" w:type="dxa"/>
            <w:tcBorders>
              <w:bottom w:val="single" w:sz="4" w:space="0" w:color="auto"/>
            </w:tcBorders>
            <w:shd w:val="clear" w:color="auto" w:fill="D9D9D9"/>
            <w:vAlign w:val="bottom"/>
          </w:tcPr>
          <w:p w:rsidR="00BF3A5B" w:rsidRPr="002A4DA0" w:rsidRDefault="00BF3A5B" w:rsidP="002A4DA0">
            <w:pPr>
              <w:pStyle w:val="ToolTableText"/>
              <w:rPr>
                <w:b/>
              </w:rPr>
            </w:pPr>
            <w:r w:rsidRPr="002A4DA0">
              <w:rPr>
                <w:b/>
              </w:rPr>
              <w:t>Examples of the rhetorical device in the text (with paragraph or page reference)</w:t>
            </w:r>
          </w:p>
        </w:tc>
        <w:tc>
          <w:tcPr>
            <w:tcW w:w="5616" w:type="dxa"/>
            <w:tcBorders>
              <w:bottom w:val="single" w:sz="4" w:space="0" w:color="auto"/>
            </w:tcBorders>
            <w:shd w:val="clear" w:color="auto" w:fill="D9D9D9"/>
            <w:vAlign w:val="bottom"/>
          </w:tcPr>
          <w:p w:rsidR="00BF3A5B" w:rsidRPr="002A4DA0" w:rsidRDefault="00BF3A5B" w:rsidP="002A4DA0">
            <w:pPr>
              <w:pStyle w:val="ToolTableText"/>
              <w:rPr>
                <w:b/>
              </w:rPr>
            </w:pPr>
            <w:r w:rsidRPr="002A4DA0">
              <w:rPr>
                <w:b/>
              </w:rPr>
              <w:t>Impact of the rhetorical device on point of view or purpose</w:t>
            </w:r>
          </w:p>
        </w:tc>
      </w:tr>
      <w:tr w:rsidR="00B95C68">
        <w:trPr>
          <w:gridAfter w:val="1"/>
          <w:wAfter w:w="15" w:type="dxa"/>
        </w:trPr>
        <w:tc>
          <w:tcPr>
            <w:tcW w:w="1713" w:type="dxa"/>
            <w:shd w:val="clear" w:color="auto" w:fill="auto"/>
          </w:tcPr>
          <w:p w:rsidR="00B95C68" w:rsidRDefault="00B95C68" w:rsidP="00FC0AFE">
            <w:pPr>
              <w:pStyle w:val="TableText"/>
            </w:pPr>
            <w:r>
              <w:t xml:space="preserve">Appeal to Ethos </w:t>
            </w:r>
          </w:p>
          <w:p w:rsidR="00B95C68" w:rsidRDefault="00B95C68" w:rsidP="00FC0AFE">
            <w:pPr>
              <w:pStyle w:val="TableText"/>
              <w:rPr>
                <w:b/>
              </w:rPr>
            </w:pPr>
          </w:p>
        </w:tc>
        <w:tc>
          <w:tcPr>
            <w:tcW w:w="5616" w:type="dxa"/>
            <w:shd w:val="clear" w:color="auto" w:fill="auto"/>
          </w:tcPr>
          <w:p w:rsidR="00B95C68" w:rsidRDefault="00EC19E0" w:rsidP="00FC0AFE">
            <w:pPr>
              <w:pStyle w:val="TableText"/>
            </w:pPr>
            <w:r>
              <w:t>“</w:t>
            </w:r>
            <w:r w:rsidR="00B95C68">
              <w:t xml:space="preserve">Today, it is an </w:t>
            </w:r>
            <w:proofErr w:type="spellStart"/>
            <w:r w:rsidR="00B95C68">
              <w:t>honour</w:t>
            </w:r>
            <w:proofErr w:type="spellEnd"/>
            <w:r w:rsidR="00B95C68">
              <w:t xml:space="preserve"> </w:t>
            </w:r>
            <w:r w:rsidR="00F70CEF">
              <w:t>. . .</w:t>
            </w:r>
            <w:r w:rsidR="006E20BA">
              <w:t xml:space="preserve"> </w:t>
            </w:r>
            <w:r w:rsidR="00B95C68">
              <w:t>Thank you to my elders whose prayers</w:t>
            </w:r>
            <w:r>
              <w:t xml:space="preserve"> strengthened me.”</w:t>
            </w:r>
            <w:r w:rsidR="00B95C68">
              <w:t xml:space="preserve"> (par. 1–3)</w:t>
            </w:r>
          </w:p>
          <w:p w:rsidR="00725D51" w:rsidRDefault="00725D51" w:rsidP="00FC0AFE">
            <w:pPr>
              <w:pStyle w:val="TableText"/>
            </w:pPr>
          </w:p>
          <w:p w:rsidR="00725D51" w:rsidRDefault="00725D51" w:rsidP="00FC0AFE">
            <w:pPr>
              <w:pStyle w:val="TableText"/>
            </w:pPr>
          </w:p>
          <w:p w:rsidR="00725D51" w:rsidRDefault="00725D51" w:rsidP="00FC0AFE">
            <w:pPr>
              <w:pStyle w:val="TableText"/>
            </w:pPr>
          </w:p>
          <w:p w:rsidR="002A4DA0" w:rsidRDefault="002A4DA0" w:rsidP="00FC0AFE">
            <w:pPr>
              <w:pStyle w:val="TableText"/>
            </w:pPr>
          </w:p>
          <w:p w:rsidR="00725D51" w:rsidRDefault="00725D51" w:rsidP="00FC0AFE">
            <w:pPr>
              <w:pStyle w:val="TableText"/>
            </w:pPr>
          </w:p>
          <w:p w:rsidR="00725D51" w:rsidRDefault="00725D51" w:rsidP="00FC0AFE">
            <w:pPr>
              <w:pStyle w:val="TableText"/>
            </w:pPr>
          </w:p>
          <w:p w:rsidR="00725D51" w:rsidRDefault="00725D51" w:rsidP="00FC0AFE">
            <w:pPr>
              <w:pStyle w:val="TableText"/>
            </w:pPr>
          </w:p>
          <w:p w:rsidR="00725D51" w:rsidRDefault="00725D51" w:rsidP="00FC0AFE">
            <w:pPr>
              <w:pStyle w:val="TableText"/>
            </w:pPr>
          </w:p>
          <w:p w:rsidR="00B95C68" w:rsidRPr="00EC6901" w:rsidRDefault="00B95C68" w:rsidP="00FC0AFE">
            <w:pPr>
              <w:pStyle w:val="TableText"/>
            </w:pPr>
            <w:r>
              <w:t>“Dear Friends, on the 9</w:t>
            </w:r>
            <w:r w:rsidRPr="009E3970">
              <w:rPr>
                <w:vertAlign w:val="superscript"/>
              </w:rPr>
              <w:t>th</w:t>
            </w:r>
            <w:r>
              <w:t xml:space="preserve"> of October</w:t>
            </w:r>
            <w:r w:rsidR="00C14B28">
              <w:t>,</w:t>
            </w:r>
            <w:r>
              <w:t xml:space="preserve"> 2012, the Taliban shot me on the left side of my forehead.” (par. 6)</w:t>
            </w:r>
          </w:p>
        </w:tc>
        <w:tc>
          <w:tcPr>
            <w:tcW w:w="5616" w:type="dxa"/>
            <w:shd w:val="clear" w:color="auto" w:fill="auto"/>
          </w:tcPr>
          <w:p w:rsidR="00891071" w:rsidRPr="00FC0AFE" w:rsidRDefault="00B95C68" w:rsidP="00FC0AFE">
            <w:pPr>
              <w:pStyle w:val="TableText"/>
              <w:rPr>
                <w:spacing w:val="-6"/>
              </w:rPr>
            </w:pPr>
            <w:r w:rsidRPr="00FC0AFE">
              <w:rPr>
                <w:spacing w:val="-6"/>
              </w:rPr>
              <w:lastRenderedPageBreak/>
              <w:t xml:space="preserve">Making it clear that it is an honor to speak to the assembly presents </w:t>
            </w:r>
            <w:proofErr w:type="spellStart"/>
            <w:r w:rsidRPr="00FC0AFE">
              <w:rPr>
                <w:spacing w:val="-6"/>
              </w:rPr>
              <w:t>Malala</w:t>
            </w:r>
            <w:proofErr w:type="spellEnd"/>
            <w:r w:rsidRPr="00FC0AFE">
              <w:rPr>
                <w:spacing w:val="-6"/>
              </w:rPr>
              <w:t xml:space="preserve"> </w:t>
            </w:r>
            <w:proofErr w:type="spellStart"/>
            <w:r w:rsidRPr="00FC0AFE">
              <w:rPr>
                <w:spacing w:val="-6"/>
              </w:rPr>
              <w:t>Yousafzai</w:t>
            </w:r>
            <w:proofErr w:type="spellEnd"/>
            <w:r w:rsidRPr="00FC0AFE">
              <w:rPr>
                <w:spacing w:val="-6"/>
              </w:rPr>
              <w:t xml:space="preserve"> as a humble person and generates goodwill. It establishes her credibility as a likeable person whose message listeners might want to hear. Similarly, thanking so many people presents </w:t>
            </w:r>
            <w:proofErr w:type="spellStart"/>
            <w:r w:rsidRPr="00FC0AFE">
              <w:rPr>
                <w:spacing w:val="-6"/>
              </w:rPr>
              <w:t>Yousafzai</w:t>
            </w:r>
            <w:proofErr w:type="spellEnd"/>
            <w:r w:rsidRPr="00FC0AFE">
              <w:rPr>
                <w:spacing w:val="-6"/>
              </w:rPr>
              <w:t xml:space="preserve"> as someone who is grateful and again establishes her as a sympathetic speaker.</w:t>
            </w:r>
          </w:p>
          <w:p w:rsidR="00891071" w:rsidRPr="00FC0AFE" w:rsidRDefault="00891071" w:rsidP="00FC0AFE">
            <w:pPr>
              <w:pStyle w:val="TableText"/>
              <w:rPr>
                <w:spacing w:val="-6"/>
              </w:rPr>
            </w:pPr>
            <w:r w:rsidRPr="00FC0AFE">
              <w:rPr>
                <w:spacing w:val="-6"/>
              </w:rPr>
              <w:t xml:space="preserve">The opening phrases of thanks show that </w:t>
            </w:r>
            <w:proofErr w:type="spellStart"/>
            <w:r w:rsidRPr="00FC0AFE">
              <w:rPr>
                <w:spacing w:val="-6"/>
              </w:rPr>
              <w:t>Yousafzai</w:t>
            </w:r>
            <w:proofErr w:type="spellEnd"/>
            <w:r w:rsidRPr="00FC0AFE">
              <w:rPr>
                <w:spacing w:val="-6"/>
              </w:rPr>
              <w:t xml:space="preserve"> shares similar values to those listening: “Thank you to every person who has prayed for my fast recovery and a new life</w:t>
            </w:r>
            <w:proofErr w:type="gramStart"/>
            <w:r w:rsidR="00F70CEF">
              <w:rPr>
                <w:spacing w:val="-6"/>
              </w:rPr>
              <w:t>. . .</w:t>
            </w:r>
            <w:r w:rsidR="002A4DA0" w:rsidRPr="00FC0AFE">
              <w:rPr>
                <w:spacing w:val="-6"/>
              </w:rPr>
              <w:t>.</w:t>
            </w:r>
            <w:proofErr w:type="gramEnd"/>
            <w:r w:rsidRPr="00FC0AFE">
              <w:rPr>
                <w:spacing w:val="-6"/>
              </w:rPr>
              <w:t xml:space="preserve"> I have received thousands of good wish cards and gifts from all over </w:t>
            </w:r>
            <w:r w:rsidRPr="00FC0AFE">
              <w:rPr>
                <w:spacing w:val="-6"/>
              </w:rPr>
              <w:lastRenderedPageBreak/>
              <w:t>the world” (par. 3).</w:t>
            </w:r>
          </w:p>
          <w:p w:rsidR="00B95C68" w:rsidRPr="00FC0AFE" w:rsidRDefault="00891071" w:rsidP="00FC0AFE">
            <w:pPr>
              <w:pStyle w:val="TableText"/>
              <w:rPr>
                <w:spacing w:val="-6"/>
              </w:rPr>
            </w:pPr>
            <w:r w:rsidRPr="00FC0AFE">
              <w:rPr>
                <w:spacing w:val="-6"/>
              </w:rPr>
              <w:t xml:space="preserve">A simple account of a horrifying act establishes </w:t>
            </w:r>
            <w:proofErr w:type="spellStart"/>
            <w:r w:rsidRPr="00FC0AFE">
              <w:rPr>
                <w:spacing w:val="-6"/>
              </w:rPr>
              <w:t>Yousafzai</w:t>
            </w:r>
            <w:proofErr w:type="spellEnd"/>
            <w:r w:rsidRPr="00FC0AFE">
              <w:rPr>
                <w:spacing w:val="-6"/>
              </w:rPr>
              <w:t xml:space="preserve"> as an </w:t>
            </w:r>
            <w:r w:rsidRPr="00FC0AFE">
              <w:t>eyewitness to the conditions in Pakistan about which she speaks</w:t>
            </w:r>
            <w:r w:rsidRPr="00FC0AFE">
              <w:rPr>
                <w:spacing w:val="-6"/>
              </w:rPr>
              <w:t>.</w:t>
            </w:r>
          </w:p>
        </w:tc>
      </w:tr>
      <w:tr w:rsidR="00B95C68">
        <w:tc>
          <w:tcPr>
            <w:tcW w:w="1713" w:type="dxa"/>
          </w:tcPr>
          <w:p w:rsidR="00B95C68" w:rsidRDefault="00B95C68" w:rsidP="00FC0AFE">
            <w:pPr>
              <w:pStyle w:val="TableText"/>
            </w:pPr>
            <w:r>
              <w:lastRenderedPageBreak/>
              <w:t xml:space="preserve">Appeal to Pathos </w:t>
            </w:r>
          </w:p>
        </w:tc>
        <w:tc>
          <w:tcPr>
            <w:tcW w:w="5616" w:type="dxa"/>
            <w:shd w:val="clear" w:color="auto" w:fill="auto"/>
          </w:tcPr>
          <w:p w:rsidR="00B95C68" w:rsidRDefault="00B95C68" w:rsidP="00FC0AFE">
            <w:pPr>
              <w:pStyle w:val="TableText"/>
            </w:pPr>
            <w:r>
              <w:t>“I cannot believe how</w:t>
            </w:r>
            <w:r w:rsidR="00F70CEF">
              <w:t xml:space="preserve"> much love people have shown me </w:t>
            </w:r>
            <w:r w:rsidR="002A4DA0">
              <w:t>.</w:t>
            </w:r>
            <w:r w:rsidR="00F70CEF">
              <w:t xml:space="preserve"> . . </w:t>
            </w:r>
            <w:r>
              <w:t xml:space="preserve">Thank you to the children whose innocent words encouraged me. Thank you to my elders whose prayers strengthened me.” (par. </w:t>
            </w:r>
            <w:r w:rsidR="00C637C7">
              <w:t>2</w:t>
            </w:r>
            <w:r>
              <w:t>)</w:t>
            </w:r>
          </w:p>
          <w:p w:rsidR="00B95C68" w:rsidRDefault="00B95C68" w:rsidP="00FC0AFE">
            <w:pPr>
              <w:pStyle w:val="TableText"/>
            </w:pPr>
            <w:r>
              <w:t>“Dear Friends, on the 9</w:t>
            </w:r>
            <w:r w:rsidRPr="009E3970">
              <w:rPr>
                <w:vertAlign w:val="superscript"/>
              </w:rPr>
              <w:t>th</w:t>
            </w:r>
            <w:r>
              <w:t xml:space="preserve"> of October</w:t>
            </w:r>
            <w:r w:rsidR="00C14B28">
              <w:t>,</w:t>
            </w:r>
            <w:r>
              <w:t xml:space="preserve"> 2012, the Taliban shot me on the left side of my forehead.” (par. 6)</w:t>
            </w:r>
          </w:p>
        </w:tc>
        <w:tc>
          <w:tcPr>
            <w:tcW w:w="5631" w:type="dxa"/>
            <w:gridSpan w:val="2"/>
            <w:shd w:val="clear" w:color="auto" w:fill="auto"/>
          </w:tcPr>
          <w:p w:rsidR="00B95C68" w:rsidRDefault="00B95C68" w:rsidP="00FC0AFE">
            <w:pPr>
              <w:pStyle w:val="TableText"/>
            </w:pPr>
            <w:r>
              <w:t xml:space="preserve">Referring to the expressions of love and encouragement and to the prayers of her elders encourages listeners to feel sympathy and empathy toward </w:t>
            </w:r>
            <w:proofErr w:type="spellStart"/>
            <w:r>
              <w:t>Malala</w:t>
            </w:r>
            <w:proofErr w:type="spellEnd"/>
            <w:r>
              <w:t xml:space="preserve"> </w:t>
            </w:r>
            <w:proofErr w:type="spellStart"/>
            <w:r>
              <w:t>Yousafzai</w:t>
            </w:r>
            <w:proofErr w:type="spellEnd"/>
            <w:r>
              <w:t>.</w:t>
            </w:r>
          </w:p>
          <w:p w:rsidR="00C14B28" w:rsidRDefault="00C14B28" w:rsidP="00FC0AFE">
            <w:pPr>
              <w:pStyle w:val="TableText"/>
            </w:pPr>
          </w:p>
          <w:p w:rsidR="00B95C68" w:rsidRDefault="00B95C68" w:rsidP="00FC0AFE">
            <w:pPr>
              <w:pStyle w:val="TableText"/>
            </w:pPr>
            <w:r>
              <w:t xml:space="preserve">Depicting a child being shot by </w:t>
            </w:r>
            <w:r w:rsidRPr="00F9165A">
              <w:rPr>
                <w:i/>
              </w:rPr>
              <w:t>terrorists</w:t>
            </w:r>
            <w:r>
              <w:t xml:space="preserve"> creates a feeling of disgust toward the </w:t>
            </w:r>
            <w:r w:rsidRPr="00F9165A">
              <w:rPr>
                <w:i/>
              </w:rPr>
              <w:t xml:space="preserve">terrorists </w:t>
            </w:r>
            <w:r>
              <w:t xml:space="preserve">and sympathy for the victim (who is </w:t>
            </w:r>
            <w:proofErr w:type="spellStart"/>
            <w:r>
              <w:t>Yousafzai</w:t>
            </w:r>
            <w:proofErr w:type="spellEnd"/>
            <w:r>
              <w:t>, the speaker).</w:t>
            </w:r>
          </w:p>
        </w:tc>
      </w:tr>
      <w:tr w:rsidR="00891071">
        <w:tc>
          <w:tcPr>
            <w:tcW w:w="1713" w:type="dxa"/>
          </w:tcPr>
          <w:p w:rsidR="00891071" w:rsidRDefault="00891071" w:rsidP="00FC0AFE">
            <w:r>
              <w:t xml:space="preserve">Parallel Structure </w:t>
            </w:r>
          </w:p>
        </w:tc>
        <w:tc>
          <w:tcPr>
            <w:tcW w:w="5616" w:type="dxa"/>
            <w:shd w:val="clear" w:color="auto" w:fill="auto"/>
          </w:tcPr>
          <w:p w:rsidR="00891071" w:rsidRDefault="00891071" w:rsidP="00C637C7">
            <w:r>
              <w:t>“The terrorists thought that they would change our aims and stop our ambitions but nothing changed in my life except this: Weakness, fear</w:t>
            </w:r>
            <w:r w:rsidR="00C14B28">
              <w:t>,</w:t>
            </w:r>
            <w:r>
              <w:t xml:space="preserve"> and hopelessness died. Strength, power and courage was born.” (par. 6)</w:t>
            </w:r>
          </w:p>
        </w:tc>
        <w:tc>
          <w:tcPr>
            <w:tcW w:w="5631" w:type="dxa"/>
            <w:gridSpan w:val="2"/>
            <w:shd w:val="clear" w:color="auto" w:fill="auto"/>
          </w:tcPr>
          <w:p w:rsidR="00891071" w:rsidRDefault="00891071" w:rsidP="00B95C68">
            <w:r>
              <w:t xml:space="preserve">The parallel structure shows how each of the </w:t>
            </w:r>
            <w:r w:rsidRPr="00F9165A">
              <w:rPr>
                <w:i/>
              </w:rPr>
              <w:t>terrorists’</w:t>
            </w:r>
            <w:r>
              <w:t xml:space="preserve"> goals failed and contrasts the results of the </w:t>
            </w:r>
            <w:r w:rsidRPr="00F9165A">
              <w:rPr>
                <w:i/>
              </w:rPr>
              <w:t>terrorist</w:t>
            </w:r>
            <w:r>
              <w:t xml:space="preserve"> attack with its aims.</w:t>
            </w:r>
          </w:p>
        </w:tc>
      </w:tr>
      <w:tr w:rsidR="00891071">
        <w:tc>
          <w:tcPr>
            <w:tcW w:w="1713" w:type="dxa"/>
          </w:tcPr>
          <w:p w:rsidR="00891071" w:rsidRDefault="00891071" w:rsidP="00B95C68">
            <w:r>
              <w:t>Repetition</w:t>
            </w:r>
          </w:p>
        </w:tc>
        <w:tc>
          <w:tcPr>
            <w:tcW w:w="5616" w:type="dxa"/>
            <w:shd w:val="clear" w:color="auto" w:fill="auto"/>
          </w:tcPr>
          <w:p w:rsidR="00FC0AFE" w:rsidRDefault="00891071" w:rsidP="00B95C68">
            <w:r>
              <w:t xml:space="preserve">“But first of all, thank you to God </w:t>
            </w:r>
            <w:r w:rsidR="00F70CEF">
              <w:t>. . .</w:t>
            </w:r>
            <w:r>
              <w:t xml:space="preserve"> and thank you to every person </w:t>
            </w:r>
            <w:r w:rsidR="00F70CEF">
              <w:t>. . .</w:t>
            </w:r>
            <w:r>
              <w:t xml:space="preserve"> Thank you to all of them. Thank you to the children </w:t>
            </w:r>
            <w:r w:rsidR="00F70CEF">
              <w:t>. . .</w:t>
            </w:r>
            <w:r>
              <w:t xml:space="preserve"> Thank you to my elders </w:t>
            </w:r>
            <w:r w:rsidR="00F70CEF">
              <w:t>. . .</w:t>
            </w:r>
            <w:r>
              <w:t xml:space="preserve"> I would like to thank my nurses, doctors and all of the staff of the hospitals</w:t>
            </w:r>
            <w:r w:rsidR="00C14B28">
              <w:t>.</w:t>
            </w:r>
            <w:r>
              <w:t>” (par. 1–3)</w:t>
            </w:r>
          </w:p>
          <w:p w:rsidR="00F326AE" w:rsidRDefault="00FC0AFE" w:rsidP="00FC0AFE">
            <w:r>
              <w:br/>
            </w:r>
          </w:p>
          <w:p w:rsidR="00891071" w:rsidRDefault="00F326AE" w:rsidP="00FC0AFE">
            <w:r>
              <w:br/>
            </w:r>
            <w:bookmarkStart w:id="0" w:name="_GoBack"/>
            <w:bookmarkEnd w:id="0"/>
            <w:r w:rsidR="00891071">
              <w:t xml:space="preserve">“I am the same </w:t>
            </w:r>
            <w:proofErr w:type="spellStart"/>
            <w:r w:rsidR="00891071">
              <w:t>Malala</w:t>
            </w:r>
            <w:proofErr w:type="spellEnd"/>
            <w:r w:rsidR="00891071">
              <w:t>. My ambitions are the same. My hopes are the same. My dreams are the same.” (par. 6)</w:t>
            </w:r>
          </w:p>
          <w:p w:rsidR="00FC0AFE" w:rsidRDefault="00FC0AFE" w:rsidP="00FC0AFE"/>
        </w:tc>
        <w:tc>
          <w:tcPr>
            <w:tcW w:w="5631" w:type="dxa"/>
            <w:gridSpan w:val="2"/>
            <w:shd w:val="clear" w:color="auto" w:fill="auto"/>
          </w:tcPr>
          <w:p w:rsidR="00891071" w:rsidRDefault="00891071" w:rsidP="00B95C68">
            <w:pPr>
              <w:pStyle w:val="TableText"/>
            </w:pPr>
            <w:r>
              <w:lastRenderedPageBreak/>
              <w:t>The repetition of “thank you” emphasizes that she has a lot of support and gratitude, making her appeal to ethos stronger.</w:t>
            </w:r>
          </w:p>
          <w:p w:rsidR="00FC0AFE" w:rsidRDefault="00891071" w:rsidP="00FC0AFE">
            <w:pPr>
              <w:pStyle w:val="TableText"/>
            </w:pPr>
            <w:r>
              <w:t>The thanks given to important people (</w:t>
            </w:r>
            <w:r w:rsidRPr="00E22185">
              <w:t>Mr. Ban Ki-moon the Secretary-General</w:t>
            </w:r>
            <w:r>
              <w:t xml:space="preserve"> and </w:t>
            </w:r>
            <w:r w:rsidRPr="00E22185">
              <w:t>UN Special Envoy Mr. Gordon Brown</w:t>
            </w:r>
            <w:r>
              <w:t xml:space="preserve">) show that </w:t>
            </w:r>
            <w:proofErr w:type="spellStart"/>
            <w:r>
              <w:t>Yousafzai</w:t>
            </w:r>
            <w:proofErr w:type="spellEnd"/>
            <w:r>
              <w:t xml:space="preserve"> is connected to powerful people, giving </w:t>
            </w:r>
            <w:r>
              <w:lastRenderedPageBreak/>
              <w:t xml:space="preserve">her words more weight. </w:t>
            </w:r>
          </w:p>
          <w:p w:rsidR="00891071" w:rsidRDefault="00FC0AFE" w:rsidP="00FC0AFE">
            <w:pPr>
              <w:pStyle w:val="TableText"/>
            </w:pPr>
            <w:r>
              <w:br/>
            </w:r>
            <w:r w:rsidR="00891071">
              <w:t xml:space="preserve">The repetition of the word </w:t>
            </w:r>
            <w:r w:rsidR="00891071">
              <w:rPr>
                <w:i/>
              </w:rPr>
              <w:t>same</w:t>
            </w:r>
            <w:r w:rsidR="00891071">
              <w:t xml:space="preserve"> demonstrates </w:t>
            </w:r>
            <w:proofErr w:type="spellStart"/>
            <w:r w:rsidR="00891071">
              <w:t>Yousafzai’s</w:t>
            </w:r>
            <w:proofErr w:type="spellEnd"/>
            <w:r w:rsidR="00891071">
              <w:t xml:space="preserve"> strength of character and defines the ways in which she remains unchanged.</w:t>
            </w:r>
          </w:p>
          <w:p w:rsidR="00FC0AFE" w:rsidRDefault="00FC0AFE" w:rsidP="00FC0AFE">
            <w:pPr>
              <w:pStyle w:val="TableText"/>
            </w:pPr>
          </w:p>
        </w:tc>
      </w:tr>
    </w:tbl>
    <w:p w:rsidR="00244183" w:rsidRPr="00FC0AFE" w:rsidRDefault="00244183" w:rsidP="00FC0AFE"/>
    <w:sectPr w:rsidR="00244183" w:rsidRPr="00FC0AFE" w:rsidSect="007918F5">
      <w:headerReference w:type="default" r:id="rId15"/>
      <w:footerReference w:type="default" r:id="rId16"/>
      <w:pgSz w:w="15840" w:h="12240" w:orient="landscape"/>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2EE" w:rsidRDefault="000512EE" w:rsidP="00E946A0">
      <w:r>
        <w:separator/>
      </w:r>
    </w:p>
    <w:p w:rsidR="000512EE" w:rsidRDefault="000512EE" w:rsidP="00E946A0"/>
  </w:endnote>
  <w:endnote w:type="continuationSeparator" w:id="0">
    <w:p w:rsidR="000512EE" w:rsidRDefault="000512EE" w:rsidP="00E946A0">
      <w:r>
        <w:continuationSeparator/>
      </w:r>
    </w:p>
    <w:p w:rsidR="000512EE" w:rsidRDefault="000512EE" w:rsidP="00E946A0"/>
  </w:endnote>
  <w:endnote w:type="continuationNotice" w:id="1">
    <w:p w:rsidR="000512EE" w:rsidRDefault="000512EE">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1F08765B-605A-4AB7-8B89-04F3B8007659}"/>
  </w:font>
  <w:font w:name="Webdings">
    <w:panose1 w:val="05030102010509060703"/>
    <w:charset w:val="02"/>
    <w:family w:val="roman"/>
    <w:pitch w:val="variable"/>
    <w:sig w:usb0="00000000" w:usb1="10000000" w:usb2="00000000" w:usb3="00000000" w:csb0="80000000" w:csb1="00000000"/>
    <w:embedRegular r:id="rId2" w:subsetted="1" w:fontKey="{D49AF7B2-08D9-4BD5-B801-31EDF705E66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C6F" w:rsidRDefault="00D96562" w:rsidP="00E946A0">
    <w:pPr>
      <w:pStyle w:val="Footer"/>
      <w:rPr>
        <w:rStyle w:val="PageNumber"/>
        <w:rFonts w:ascii="Calibri" w:hAnsi="Calibri"/>
        <w:sz w:val="22"/>
      </w:rPr>
    </w:pPr>
    <w:r>
      <w:rPr>
        <w:rStyle w:val="PageNumber"/>
      </w:rPr>
      <w:fldChar w:fldCharType="begin"/>
    </w:r>
    <w:r w:rsidR="00BC5C6F">
      <w:rPr>
        <w:rStyle w:val="PageNumber"/>
      </w:rPr>
      <w:instrText xml:space="preserve">PAGE  </w:instrText>
    </w:r>
    <w:r>
      <w:rPr>
        <w:rStyle w:val="PageNumber"/>
      </w:rPr>
      <w:fldChar w:fldCharType="end"/>
    </w:r>
  </w:p>
  <w:p w:rsidR="00BC5C6F" w:rsidRDefault="00BC5C6F" w:rsidP="00E946A0">
    <w:pPr>
      <w:pStyle w:val="Footer"/>
    </w:pPr>
  </w:p>
  <w:p w:rsidR="00BC5C6F" w:rsidRDefault="00BC5C6F" w:rsidP="00E946A0"/>
  <w:p w:rsidR="00BC5C6F" w:rsidRDefault="00BC5C6F"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C6F" w:rsidRPr="00563CB8" w:rsidRDefault="00BC5C6F"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BC5C6F">
      <w:trPr>
        <w:trHeight w:val="705"/>
      </w:trPr>
      <w:tc>
        <w:tcPr>
          <w:tcW w:w="4609" w:type="dxa"/>
          <w:shd w:val="clear" w:color="auto" w:fill="auto"/>
          <w:vAlign w:val="center"/>
        </w:tcPr>
        <w:p w:rsidR="00BC5C6F" w:rsidRPr="002E4C92" w:rsidRDefault="00BC5C6F" w:rsidP="004F2969">
          <w:pPr>
            <w:pStyle w:val="FooterText"/>
          </w:pPr>
          <w:r w:rsidRPr="002E4C92">
            <w:t>File:</w:t>
          </w:r>
          <w:r w:rsidRPr="0039525B">
            <w:rPr>
              <w:b w:val="0"/>
            </w:rPr>
            <w:t xml:space="preserve"> </w:t>
          </w:r>
          <w:r>
            <w:rPr>
              <w:b w:val="0"/>
            </w:rPr>
            <w:t>10</w:t>
          </w:r>
          <w:r w:rsidRPr="0039525B">
            <w:rPr>
              <w:b w:val="0"/>
            </w:rPr>
            <w:t>.</w:t>
          </w:r>
          <w:r>
            <w:rPr>
              <w:b w:val="0"/>
            </w:rPr>
            <w:t>2</w:t>
          </w:r>
          <w:r w:rsidRPr="0039525B">
            <w:rPr>
              <w:b w:val="0"/>
            </w:rPr>
            <w:t>.</w:t>
          </w:r>
          <w:r>
            <w:rPr>
              <w:b w:val="0"/>
            </w:rPr>
            <w:t>3</w:t>
          </w:r>
          <w:r w:rsidRPr="0039525B">
            <w:rPr>
              <w:b w:val="0"/>
            </w:rPr>
            <w:t xml:space="preserve"> Lesson </w:t>
          </w:r>
          <w:r>
            <w:rPr>
              <w:b w:val="0"/>
            </w:rPr>
            <w:t>5</w:t>
          </w:r>
          <w:r w:rsidRPr="002E4C92">
            <w:t xml:space="preserve"> Date:</w:t>
          </w:r>
          <w:r w:rsidRPr="0039525B">
            <w:rPr>
              <w:b w:val="0"/>
            </w:rPr>
            <w:t xml:space="preserve"> </w:t>
          </w:r>
          <w:r>
            <w:rPr>
              <w:b w:val="0"/>
            </w:rPr>
            <w:t>4</w:t>
          </w:r>
          <w:r w:rsidRPr="0039525B">
            <w:rPr>
              <w:b w:val="0"/>
            </w:rPr>
            <w:t>/</w:t>
          </w:r>
          <w:r w:rsidR="002B7F2E">
            <w:rPr>
              <w:b w:val="0"/>
            </w:rPr>
            <w:t>18</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4</w:t>
          </w:r>
          <w:r w:rsidRPr="0039525B">
            <w:rPr>
              <w:b w:val="0"/>
            </w:rPr>
            <w:t>/201</w:t>
          </w:r>
          <w:r>
            <w:rPr>
              <w:b w:val="0"/>
            </w:rPr>
            <w:t>4</w:t>
          </w:r>
          <w:r w:rsidRPr="0039525B">
            <w:rPr>
              <w:b w:val="0"/>
            </w:rPr>
            <w:t xml:space="preserve"> </w:t>
          </w:r>
        </w:p>
        <w:p w:rsidR="00BC5C6F" w:rsidRPr="0039525B" w:rsidRDefault="00BC5C6F"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BC5C6F" w:rsidRPr="0039525B" w:rsidRDefault="00BC5C6F"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BC5C6F" w:rsidRPr="002E4C92" w:rsidRDefault="00D96562" w:rsidP="004F2969">
          <w:pPr>
            <w:pStyle w:val="FooterText"/>
          </w:pPr>
          <w:hyperlink r:id="rId1" w:history="1">
            <w:r w:rsidR="00BC5C6F"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BC5C6F" w:rsidRPr="002E4C92" w:rsidRDefault="00D96562"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BC5C6F"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A5EE0">
            <w:rPr>
              <w:rFonts w:ascii="Calibri" w:hAnsi="Calibri" w:cs="Calibri"/>
              <w:b/>
              <w:noProof/>
              <w:color w:val="1F4E79"/>
              <w:sz w:val="28"/>
            </w:rPr>
            <w:t>13</w:t>
          </w:r>
          <w:r w:rsidRPr="002E4C92">
            <w:rPr>
              <w:rFonts w:ascii="Calibri" w:hAnsi="Calibri" w:cs="Calibri"/>
              <w:b/>
              <w:color w:val="1F4E79"/>
              <w:sz w:val="28"/>
            </w:rPr>
            <w:fldChar w:fldCharType="end"/>
          </w:r>
        </w:p>
      </w:tc>
      <w:tc>
        <w:tcPr>
          <w:tcW w:w="4325" w:type="dxa"/>
          <w:shd w:val="clear" w:color="auto" w:fill="auto"/>
          <w:vAlign w:val="bottom"/>
        </w:tcPr>
        <w:p w:rsidR="00BC5C6F" w:rsidRPr="002E4C92" w:rsidRDefault="00BC5C6F"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BC5C6F" w:rsidRPr="0039525B" w:rsidRDefault="00BC5C6F" w:rsidP="0039525B">
    <w:pPr>
      <w:pStyle w:val="Footer"/>
      <w:spacing w:before="0" w:after="0" w:line="240" w:lineRule="auto"/>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C6F" w:rsidRPr="00563CB8" w:rsidRDefault="00BC5C6F" w:rsidP="004F2969">
    <w:pPr>
      <w:spacing w:before="0" w:after="0" w:line="240" w:lineRule="auto"/>
      <w:rPr>
        <w:sz w:val="14"/>
      </w:rPr>
    </w:pPr>
  </w:p>
  <w:tbl>
    <w:tblPr>
      <w:tblW w:w="4991" w:type="pct"/>
      <w:tblBorders>
        <w:top w:val="single" w:sz="8" w:space="0" w:color="244061"/>
      </w:tblBorders>
      <w:tblLook w:val="04A0"/>
    </w:tblPr>
    <w:tblGrid>
      <w:gridCol w:w="6341"/>
      <w:gridCol w:w="860"/>
      <w:gridCol w:w="5951"/>
    </w:tblGrid>
    <w:tr w:rsidR="00BC5C6F">
      <w:trPr>
        <w:trHeight w:val="705"/>
      </w:trPr>
      <w:tc>
        <w:tcPr>
          <w:tcW w:w="4609" w:type="dxa"/>
          <w:shd w:val="clear" w:color="auto" w:fill="auto"/>
          <w:vAlign w:val="center"/>
        </w:tcPr>
        <w:p w:rsidR="00BC5C6F" w:rsidRPr="002E4C92" w:rsidRDefault="00BC5C6F" w:rsidP="004F2969">
          <w:pPr>
            <w:pStyle w:val="FooterText"/>
          </w:pPr>
          <w:r w:rsidRPr="002E4C92">
            <w:t>File:</w:t>
          </w:r>
          <w:r w:rsidRPr="0039525B">
            <w:rPr>
              <w:b w:val="0"/>
            </w:rPr>
            <w:t xml:space="preserve"> </w:t>
          </w:r>
          <w:r>
            <w:rPr>
              <w:b w:val="0"/>
            </w:rPr>
            <w:t>10</w:t>
          </w:r>
          <w:r w:rsidRPr="0039525B">
            <w:rPr>
              <w:b w:val="0"/>
            </w:rPr>
            <w:t>.</w:t>
          </w:r>
          <w:r>
            <w:rPr>
              <w:b w:val="0"/>
            </w:rPr>
            <w:t>2</w:t>
          </w:r>
          <w:r w:rsidRPr="0039525B">
            <w:rPr>
              <w:b w:val="0"/>
            </w:rPr>
            <w:t>.</w:t>
          </w:r>
          <w:r>
            <w:rPr>
              <w:b w:val="0"/>
            </w:rPr>
            <w:t>3</w:t>
          </w:r>
          <w:r w:rsidRPr="0039525B">
            <w:rPr>
              <w:b w:val="0"/>
            </w:rPr>
            <w:t xml:space="preserve"> Lesson </w:t>
          </w:r>
          <w:r>
            <w:rPr>
              <w:b w:val="0"/>
            </w:rPr>
            <w:t>5</w:t>
          </w:r>
          <w:r w:rsidRPr="002E4C92">
            <w:t xml:space="preserve"> Date:</w:t>
          </w:r>
          <w:r w:rsidRPr="0039525B">
            <w:rPr>
              <w:b w:val="0"/>
            </w:rPr>
            <w:t xml:space="preserve"> </w:t>
          </w:r>
          <w:r>
            <w:rPr>
              <w:b w:val="0"/>
            </w:rPr>
            <w:t>4</w:t>
          </w:r>
          <w:r w:rsidRPr="0039525B">
            <w:rPr>
              <w:b w:val="0"/>
            </w:rPr>
            <w:t>/</w:t>
          </w:r>
          <w:r w:rsidR="00725D51">
            <w:rPr>
              <w:b w:val="0"/>
            </w:rPr>
            <w:t>1</w:t>
          </w:r>
          <w:r w:rsidR="002B7F2E">
            <w:rPr>
              <w:b w:val="0"/>
            </w:rPr>
            <w:t>8</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4</w:t>
          </w:r>
          <w:r w:rsidRPr="0039525B">
            <w:rPr>
              <w:b w:val="0"/>
            </w:rPr>
            <w:t>/201</w:t>
          </w:r>
          <w:r>
            <w:rPr>
              <w:b w:val="0"/>
            </w:rPr>
            <w:t>4</w:t>
          </w:r>
          <w:r w:rsidRPr="0039525B">
            <w:rPr>
              <w:b w:val="0"/>
            </w:rPr>
            <w:t xml:space="preserve"> </w:t>
          </w:r>
        </w:p>
        <w:p w:rsidR="00BC5C6F" w:rsidRPr="0039525B" w:rsidRDefault="00BC5C6F"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BC5C6F" w:rsidRPr="0039525B" w:rsidRDefault="00BC5C6F"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BC5C6F" w:rsidRPr="002E4C92" w:rsidRDefault="00D96562" w:rsidP="004F2969">
          <w:pPr>
            <w:pStyle w:val="FooterText"/>
          </w:pPr>
          <w:hyperlink r:id="rId1" w:history="1">
            <w:r w:rsidR="00BC5C6F"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BC5C6F" w:rsidRPr="002E4C92" w:rsidRDefault="00D96562"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BC5C6F"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A5EE0">
            <w:rPr>
              <w:rFonts w:ascii="Calibri" w:hAnsi="Calibri" w:cs="Calibri"/>
              <w:b/>
              <w:noProof/>
              <w:color w:val="1F4E79"/>
              <w:sz w:val="28"/>
            </w:rPr>
            <w:t>16</w:t>
          </w:r>
          <w:r w:rsidRPr="002E4C92">
            <w:rPr>
              <w:rFonts w:ascii="Calibri" w:hAnsi="Calibri" w:cs="Calibri"/>
              <w:b/>
              <w:color w:val="1F4E79"/>
              <w:sz w:val="28"/>
            </w:rPr>
            <w:fldChar w:fldCharType="end"/>
          </w:r>
        </w:p>
      </w:tc>
      <w:tc>
        <w:tcPr>
          <w:tcW w:w="4325" w:type="dxa"/>
          <w:shd w:val="clear" w:color="auto" w:fill="auto"/>
          <w:vAlign w:val="bottom"/>
        </w:tcPr>
        <w:p w:rsidR="00BC5C6F" w:rsidRPr="002E4C92" w:rsidRDefault="00BC5C6F"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BC5C6F" w:rsidRPr="0039525B" w:rsidRDefault="00BC5C6F"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2EE" w:rsidRDefault="000512EE" w:rsidP="00E946A0">
      <w:r>
        <w:separator/>
      </w:r>
    </w:p>
    <w:p w:rsidR="000512EE" w:rsidRDefault="000512EE" w:rsidP="00E946A0"/>
  </w:footnote>
  <w:footnote w:type="continuationSeparator" w:id="0">
    <w:p w:rsidR="000512EE" w:rsidRDefault="000512EE" w:rsidP="00E946A0">
      <w:r>
        <w:continuationSeparator/>
      </w:r>
    </w:p>
    <w:p w:rsidR="000512EE" w:rsidRDefault="000512EE" w:rsidP="00E946A0"/>
  </w:footnote>
  <w:footnote w:type="continuationNotice" w:id="1">
    <w:p w:rsidR="000512EE" w:rsidRDefault="000512EE">
      <w:pPr>
        <w:spacing w:before="0"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BC5C6F" w:rsidRPr="00563CB8">
      <w:tc>
        <w:tcPr>
          <w:tcW w:w="3708" w:type="dxa"/>
          <w:shd w:val="clear" w:color="auto" w:fill="auto"/>
        </w:tcPr>
        <w:p w:rsidR="00BC5C6F" w:rsidRPr="00563CB8" w:rsidRDefault="00BC5C6F"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BC5C6F" w:rsidRPr="00563CB8" w:rsidRDefault="00BC5C6F" w:rsidP="00E946A0">
          <w:pPr>
            <w:jc w:val="center"/>
          </w:pPr>
          <w:r w:rsidRPr="00563CB8">
            <w:t>D R A F T</w:t>
          </w:r>
        </w:p>
      </w:tc>
      <w:tc>
        <w:tcPr>
          <w:tcW w:w="3438" w:type="dxa"/>
          <w:shd w:val="clear" w:color="auto" w:fill="auto"/>
        </w:tcPr>
        <w:p w:rsidR="00BC5C6F" w:rsidRPr="00E946A0" w:rsidRDefault="00BC5C6F" w:rsidP="00E946A0">
          <w:pPr>
            <w:pStyle w:val="PageHeader"/>
            <w:jc w:val="right"/>
            <w:rPr>
              <w:b w:val="0"/>
            </w:rPr>
          </w:pPr>
          <w:r>
            <w:rPr>
              <w:b w:val="0"/>
            </w:rPr>
            <w:t>Grade 10 • Module 2</w:t>
          </w:r>
          <w:r w:rsidRPr="00E946A0">
            <w:rPr>
              <w:b w:val="0"/>
            </w:rPr>
            <w:t xml:space="preserve"> • Unit </w:t>
          </w:r>
          <w:r>
            <w:rPr>
              <w:b w:val="0"/>
            </w:rPr>
            <w:t>3 • Lesson 5</w:t>
          </w:r>
        </w:p>
      </w:tc>
    </w:tr>
  </w:tbl>
  <w:p w:rsidR="00BC5C6F" w:rsidRDefault="00BC5C6F" w:rsidP="00E946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5102"/>
      <w:gridCol w:w="3344"/>
      <w:gridCol w:w="4730"/>
    </w:tblGrid>
    <w:tr w:rsidR="00BC5C6F" w:rsidRPr="00563CB8">
      <w:tc>
        <w:tcPr>
          <w:tcW w:w="3708" w:type="dxa"/>
          <w:shd w:val="clear" w:color="auto" w:fill="auto"/>
        </w:tcPr>
        <w:p w:rsidR="00BC5C6F" w:rsidRPr="00563CB8" w:rsidRDefault="00BC5C6F"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BC5C6F" w:rsidRPr="00563CB8" w:rsidRDefault="00BC5C6F" w:rsidP="00E946A0">
          <w:pPr>
            <w:jc w:val="center"/>
          </w:pPr>
          <w:r w:rsidRPr="00563CB8">
            <w:t>D R A F T</w:t>
          </w:r>
        </w:p>
      </w:tc>
      <w:tc>
        <w:tcPr>
          <w:tcW w:w="3438" w:type="dxa"/>
          <w:shd w:val="clear" w:color="auto" w:fill="auto"/>
        </w:tcPr>
        <w:p w:rsidR="00BC5C6F" w:rsidRPr="00E946A0" w:rsidRDefault="00BC5C6F" w:rsidP="00E946A0">
          <w:pPr>
            <w:pStyle w:val="PageHeader"/>
            <w:jc w:val="right"/>
            <w:rPr>
              <w:b w:val="0"/>
            </w:rPr>
          </w:pPr>
          <w:r>
            <w:rPr>
              <w:b w:val="0"/>
            </w:rPr>
            <w:t>Grade 10 • Module 2</w:t>
          </w:r>
          <w:r w:rsidRPr="00E946A0">
            <w:rPr>
              <w:b w:val="0"/>
            </w:rPr>
            <w:t xml:space="preserve"> • Unit </w:t>
          </w:r>
          <w:r>
            <w:rPr>
              <w:b w:val="0"/>
            </w:rPr>
            <w:t>3 • Lesson 5</w:t>
          </w:r>
        </w:p>
      </w:tc>
    </w:tr>
  </w:tbl>
  <w:p w:rsidR="00BC5C6F" w:rsidRDefault="00BC5C6F"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2">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B565D0"/>
    <w:multiLevelType w:val="hybridMultilevel"/>
    <w:tmpl w:val="AC329768"/>
    <w:lvl w:ilvl="0" w:tplc="49F21EB0">
      <w:start w:val="1"/>
      <w:numFmt w:val="lowerLetter"/>
      <w:lvlText w:val="%1."/>
      <w:lvlJc w:val="left"/>
      <w:pPr>
        <w:ind w:left="360" w:hanging="360"/>
      </w:pPr>
      <w:rPr>
        <w:rFonts w:ascii="Calibri" w:eastAsia="Calibri" w:hAnsi="Calibri"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F4939C6"/>
    <w:multiLevelType w:val="hybridMultilevel"/>
    <w:tmpl w:val="E73C6760"/>
    <w:lvl w:ilvl="0" w:tplc="66BEF364">
      <w:start w:val="1"/>
      <w:numFmt w:val="bullet"/>
      <w:pStyle w:val="SR"/>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1732A"/>
    <w:multiLevelType w:val="hybridMultilevel"/>
    <w:tmpl w:val="6D362558"/>
    <w:lvl w:ilvl="0" w:tplc="DF14824E">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8"/>
  </w:num>
  <w:num w:numId="2">
    <w:abstractNumId w:val="2"/>
  </w:num>
  <w:num w:numId="3">
    <w:abstractNumId w:val="1"/>
  </w:num>
  <w:num w:numId="4">
    <w:abstractNumId w:val="8"/>
    <w:lvlOverride w:ilvl="0">
      <w:startOverride w:val="1"/>
    </w:lvlOverride>
  </w:num>
  <w:num w:numId="5">
    <w:abstractNumId w:val="7"/>
  </w:num>
  <w:num w:numId="6">
    <w:abstractNumId w:val="7"/>
  </w:num>
  <w:num w:numId="7">
    <w:abstractNumId w:val="7"/>
    <w:lvlOverride w:ilvl="0">
      <w:startOverride w:val="1"/>
    </w:lvlOverride>
  </w:num>
  <w:num w:numId="8">
    <w:abstractNumId w:val="8"/>
  </w:num>
  <w:num w:numId="9">
    <w:abstractNumId w:val="8"/>
    <w:lvlOverride w:ilvl="0">
      <w:startOverride w:val="1"/>
    </w:lvlOverride>
  </w:num>
  <w:num w:numId="10">
    <w:abstractNumId w:val="7"/>
    <w:lvlOverride w:ilvl="0">
      <w:startOverride w:val="1"/>
    </w:lvlOverride>
  </w:num>
  <w:num w:numId="11">
    <w:abstractNumId w:val="0"/>
  </w:num>
  <w:num w:numId="12">
    <w:abstractNumId w:val="28"/>
  </w:num>
  <w:num w:numId="13">
    <w:abstractNumId w:val="7"/>
    <w:lvlOverride w:ilvl="0">
      <w:startOverride w:val="1"/>
    </w:lvlOverride>
  </w:num>
  <w:num w:numId="14">
    <w:abstractNumId w:val="6"/>
  </w:num>
  <w:num w:numId="15">
    <w:abstractNumId w:val="3"/>
  </w:num>
  <w:num w:numId="16">
    <w:abstractNumId w:val="23"/>
  </w:num>
  <w:num w:numId="17">
    <w:abstractNumId w:val="13"/>
  </w:num>
  <w:num w:numId="18">
    <w:abstractNumId w:val="14"/>
  </w:num>
  <w:num w:numId="19">
    <w:abstractNumId w:val="11"/>
  </w:num>
  <w:num w:numId="20">
    <w:abstractNumId w:val="4"/>
  </w:num>
  <w:num w:numId="21">
    <w:abstractNumId w:val="8"/>
    <w:lvlOverride w:ilvl="0">
      <w:startOverride w:val="1"/>
    </w:lvlOverride>
  </w:num>
  <w:num w:numId="22">
    <w:abstractNumId w:val="1"/>
    <w:lvlOverride w:ilvl="0">
      <w:startOverride w:val="1"/>
    </w:lvlOverride>
  </w:num>
  <w:num w:numId="23">
    <w:abstractNumId w:val="25"/>
  </w:num>
  <w:num w:numId="24">
    <w:abstractNumId w:val="5"/>
  </w:num>
  <w:num w:numId="25">
    <w:abstractNumId w:val="22"/>
  </w:num>
  <w:num w:numId="26">
    <w:abstractNumId w:val="15"/>
  </w:num>
  <w:num w:numId="27">
    <w:abstractNumId w:val="2"/>
    <w:lvlOverride w:ilvl="0">
      <w:startOverride w:val="1"/>
    </w:lvlOverride>
  </w:num>
  <w:num w:numId="28">
    <w:abstractNumId w:val="19"/>
  </w:num>
  <w:num w:numId="29">
    <w:abstractNumId w:val="10"/>
  </w:num>
  <w:num w:numId="30">
    <w:abstractNumId w:val="17"/>
  </w:num>
  <w:num w:numId="31">
    <w:abstractNumId w:val="27"/>
  </w:num>
  <w:num w:numId="32">
    <w:abstractNumId w:val="20"/>
  </w:num>
  <w:num w:numId="33">
    <w:abstractNumId w:val="24"/>
  </w:num>
  <w:num w:numId="34">
    <w:abstractNumId w:val="8"/>
    <w:lvlOverride w:ilvl="0">
      <w:startOverride w:val="1"/>
    </w:lvlOverride>
  </w:num>
  <w:num w:numId="35">
    <w:abstractNumId w:val="21"/>
  </w:num>
  <w:num w:numId="36">
    <w:abstractNumId w:val="9"/>
  </w:num>
  <w:num w:numId="37">
    <w:abstractNumId w:val="12"/>
  </w:num>
  <w:num w:numId="38">
    <w:abstractNumId w:val="26"/>
  </w:num>
  <w:num w:numId="39">
    <w:abstractNumId w:val="16"/>
  </w:num>
  <w:num w:numId="40">
    <w:abstractNumId w:val="26"/>
    <w:lvlOverride w:ilvl="0">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TrueTypeFonts/>
  <w:embedSystemFonts/>
  <w:saveSubsetFonts/>
  <w:proofState w:spelling="clean" w:grammar="clean"/>
  <w:doNotTrackMoves/>
  <w:defaultTabStop w:val="720"/>
  <w:drawingGridHorizontalSpacing w:val="11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A4688B"/>
    <w:rsid w:val="00004D03"/>
    <w:rsid w:val="00007CBA"/>
    <w:rsid w:val="00007F67"/>
    <w:rsid w:val="00011E99"/>
    <w:rsid w:val="000134DA"/>
    <w:rsid w:val="000137C5"/>
    <w:rsid w:val="00013C5D"/>
    <w:rsid w:val="0001410C"/>
    <w:rsid w:val="00014D5D"/>
    <w:rsid w:val="00016007"/>
    <w:rsid w:val="000168FE"/>
    <w:rsid w:val="00020527"/>
    <w:rsid w:val="00021589"/>
    <w:rsid w:val="0002335F"/>
    <w:rsid w:val="0002650A"/>
    <w:rsid w:val="000344B9"/>
    <w:rsid w:val="00034778"/>
    <w:rsid w:val="00035597"/>
    <w:rsid w:val="000512EE"/>
    <w:rsid w:val="00053088"/>
    <w:rsid w:val="00062291"/>
    <w:rsid w:val="0006233C"/>
    <w:rsid w:val="000647DB"/>
    <w:rsid w:val="00064850"/>
    <w:rsid w:val="00066123"/>
    <w:rsid w:val="0006669B"/>
    <w:rsid w:val="00067088"/>
    <w:rsid w:val="0006776C"/>
    <w:rsid w:val="00070F43"/>
    <w:rsid w:val="00071936"/>
    <w:rsid w:val="00072749"/>
    <w:rsid w:val="000742AA"/>
    <w:rsid w:val="00074C92"/>
    <w:rsid w:val="00075649"/>
    <w:rsid w:val="00080A8A"/>
    <w:rsid w:val="00081272"/>
    <w:rsid w:val="000812CF"/>
    <w:rsid w:val="000827AE"/>
    <w:rsid w:val="000837D6"/>
    <w:rsid w:val="000848B2"/>
    <w:rsid w:val="00084ED5"/>
    <w:rsid w:val="00086A06"/>
    <w:rsid w:val="00090200"/>
    <w:rsid w:val="000907A1"/>
    <w:rsid w:val="00092730"/>
    <w:rsid w:val="00092C82"/>
    <w:rsid w:val="00093A43"/>
    <w:rsid w:val="00095BBA"/>
    <w:rsid w:val="00096A06"/>
    <w:rsid w:val="000972F1"/>
    <w:rsid w:val="000A1206"/>
    <w:rsid w:val="000A26A7"/>
    <w:rsid w:val="000A32E0"/>
    <w:rsid w:val="000A3640"/>
    <w:rsid w:val="000A649A"/>
    <w:rsid w:val="000A64DB"/>
    <w:rsid w:val="000B1882"/>
    <w:rsid w:val="000B2D56"/>
    <w:rsid w:val="000B3015"/>
    <w:rsid w:val="000B3836"/>
    <w:rsid w:val="000B6EA7"/>
    <w:rsid w:val="000C0112"/>
    <w:rsid w:val="000C169A"/>
    <w:rsid w:val="000C4439"/>
    <w:rsid w:val="000C4813"/>
    <w:rsid w:val="000C5656"/>
    <w:rsid w:val="000C5893"/>
    <w:rsid w:val="000C651F"/>
    <w:rsid w:val="000C7196"/>
    <w:rsid w:val="000D0F3D"/>
    <w:rsid w:val="000D0FAE"/>
    <w:rsid w:val="000D18CD"/>
    <w:rsid w:val="000D7E64"/>
    <w:rsid w:val="000E0B69"/>
    <w:rsid w:val="000E314A"/>
    <w:rsid w:val="000E4DBA"/>
    <w:rsid w:val="000E6897"/>
    <w:rsid w:val="000F192C"/>
    <w:rsid w:val="000F1F23"/>
    <w:rsid w:val="000F2414"/>
    <w:rsid w:val="000F7D35"/>
    <w:rsid w:val="000F7F56"/>
    <w:rsid w:val="0010235F"/>
    <w:rsid w:val="00110A04"/>
    <w:rsid w:val="00111A39"/>
    <w:rsid w:val="00113086"/>
    <w:rsid w:val="00113501"/>
    <w:rsid w:val="001159C2"/>
    <w:rsid w:val="001179A4"/>
    <w:rsid w:val="00120032"/>
    <w:rsid w:val="001215F2"/>
    <w:rsid w:val="00121C27"/>
    <w:rsid w:val="0012292A"/>
    <w:rsid w:val="00123603"/>
    <w:rsid w:val="00124ADC"/>
    <w:rsid w:val="001258FD"/>
    <w:rsid w:val="00127492"/>
    <w:rsid w:val="00127E6E"/>
    <w:rsid w:val="00133528"/>
    <w:rsid w:val="001352AE"/>
    <w:rsid w:val="001362D4"/>
    <w:rsid w:val="00140413"/>
    <w:rsid w:val="001463A7"/>
    <w:rsid w:val="00146B16"/>
    <w:rsid w:val="001509EC"/>
    <w:rsid w:val="0015118C"/>
    <w:rsid w:val="00151326"/>
    <w:rsid w:val="0015347B"/>
    <w:rsid w:val="001536F2"/>
    <w:rsid w:val="001555E6"/>
    <w:rsid w:val="00156124"/>
    <w:rsid w:val="00160C87"/>
    <w:rsid w:val="00161990"/>
    <w:rsid w:val="001657A6"/>
    <w:rsid w:val="001708C2"/>
    <w:rsid w:val="001723D5"/>
    <w:rsid w:val="00173D81"/>
    <w:rsid w:val="00175B00"/>
    <w:rsid w:val="00182506"/>
    <w:rsid w:val="0018630D"/>
    <w:rsid w:val="00186355"/>
    <w:rsid w:val="001864E6"/>
    <w:rsid w:val="00186FDA"/>
    <w:rsid w:val="0018762C"/>
    <w:rsid w:val="001945FA"/>
    <w:rsid w:val="00194F1D"/>
    <w:rsid w:val="001A1D7C"/>
    <w:rsid w:val="001A2182"/>
    <w:rsid w:val="001A5133"/>
    <w:rsid w:val="001A5877"/>
    <w:rsid w:val="001B0794"/>
    <w:rsid w:val="001B1487"/>
    <w:rsid w:val="001B53F9"/>
    <w:rsid w:val="001B5F73"/>
    <w:rsid w:val="001C1C99"/>
    <w:rsid w:val="001C35E3"/>
    <w:rsid w:val="001C5188"/>
    <w:rsid w:val="001C68E3"/>
    <w:rsid w:val="001C6B70"/>
    <w:rsid w:val="001D047B"/>
    <w:rsid w:val="001D0518"/>
    <w:rsid w:val="001D0DD9"/>
    <w:rsid w:val="001D1681"/>
    <w:rsid w:val="001D3F3A"/>
    <w:rsid w:val="001D641A"/>
    <w:rsid w:val="001E189E"/>
    <w:rsid w:val="001F0991"/>
    <w:rsid w:val="001F2978"/>
    <w:rsid w:val="001F29C2"/>
    <w:rsid w:val="001F4C28"/>
    <w:rsid w:val="001F6005"/>
    <w:rsid w:val="001F6C4F"/>
    <w:rsid w:val="001F753D"/>
    <w:rsid w:val="002009F7"/>
    <w:rsid w:val="0020138A"/>
    <w:rsid w:val="002041CD"/>
    <w:rsid w:val="00205606"/>
    <w:rsid w:val="002070CE"/>
    <w:rsid w:val="00207C8B"/>
    <w:rsid w:val="00210A78"/>
    <w:rsid w:val="00214BEC"/>
    <w:rsid w:val="00223AE8"/>
    <w:rsid w:val="00224590"/>
    <w:rsid w:val="002306FF"/>
    <w:rsid w:val="00231919"/>
    <w:rsid w:val="00234AF1"/>
    <w:rsid w:val="00240FF7"/>
    <w:rsid w:val="002429A0"/>
    <w:rsid w:val="00244183"/>
    <w:rsid w:val="0024557C"/>
    <w:rsid w:val="00245B86"/>
    <w:rsid w:val="002516D4"/>
    <w:rsid w:val="00251A7C"/>
    <w:rsid w:val="00251DAB"/>
    <w:rsid w:val="00252D78"/>
    <w:rsid w:val="00252E78"/>
    <w:rsid w:val="002617B2"/>
    <w:rsid w:val="002619B1"/>
    <w:rsid w:val="002635F4"/>
    <w:rsid w:val="00263AF5"/>
    <w:rsid w:val="00264F21"/>
    <w:rsid w:val="002661A8"/>
    <w:rsid w:val="002748DB"/>
    <w:rsid w:val="002749F0"/>
    <w:rsid w:val="00274FEB"/>
    <w:rsid w:val="00276DB9"/>
    <w:rsid w:val="0028184C"/>
    <w:rsid w:val="00284B9E"/>
    <w:rsid w:val="00284FC0"/>
    <w:rsid w:val="002864BD"/>
    <w:rsid w:val="00290F88"/>
    <w:rsid w:val="00293177"/>
    <w:rsid w:val="0029527C"/>
    <w:rsid w:val="00296255"/>
    <w:rsid w:val="00296364"/>
    <w:rsid w:val="00297DC5"/>
    <w:rsid w:val="002A21DE"/>
    <w:rsid w:val="002A4DA0"/>
    <w:rsid w:val="002A5337"/>
    <w:rsid w:val="002A5420"/>
    <w:rsid w:val="002B3E72"/>
    <w:rsid w:val="002B6A15"/>
    <w:rsid w:val="002B7F2E"/>
    <w:rsid w:val="002C0245"/>
    <w:rsid w:val="002C02FB"/>
    <w:rsid w:val="002C4635"/>
    <w:rsid w:val="002C5F0D"/>
    <w:rsid w:val="002C6936"/>
    <w:rsid w:val="002D321B"/>
    <w:rsid w:val="002D5EB9"/>
    <w:rsid w:val="002D632F"/>
    <w:rsid w:val="002E27AE"/>
    <w:rsid w:val="002E29D1"/>
    <w:rsid w:val="002E4491"/>
    <w:rsid w:val="002E4AF8"/>
    <w:rsid w:val="002E4C92"/>
    <w:rsid w:val="002E5598"/>
    <w:rsid w:val="002E6A32"/>
    <w:rsid w:val="002F03D2"/>
    <w:rsid w:val="002F14E7"/>
    <w:rsid w:val="002F155B"/>
    <w:rsid w:val="002F3D65"/>
    <w:rsid w:val="002F65AA"/>
    <w:rsid w:val="003032F8"/>
    <w:rsid w:val="0030343B"/>
    <w:rsid w:val="003067BF"/>
    <w:rsid w:val="00311E81"/>
    <w:rsid w:val="00317306"/>
    <w:rsid w:val="003201AC"/>
    <w:rsid w:val="00320794"/>
    <w:rsid w:val="0032239A"/>
    <w:rsid w:val="00324554"/>
    <w:rsid w:val="00326431"/>
    <w:rsid w:val="00332297"/>
    <w:rsid w:val="00335168"/>
    <w:rsid w:val="003368BF"/>
    <w:rsid w:val="00341D9C"/>
    <w:rsid w:val="003440A9"/>
    <w:rsid w:val="00347761"/>
    <w:rsid w:val="00347DD9"/>
    <w:rsid w:val="00350B03"/>
    <w:rsid w:val="00351804"/>
    <w:rsid w:val="00351F18"/>
    <w:rsid w:val="00352361"/>
    <w:rsid w:val="00353081"/>
    <w:rsid w:val="00354239"/>
    <w:rsid w:val="00355B9E"/>
    <w:rsid w:val="00356656"/>
    <w:rsid w:val="00360141"/>
    <w:rsid w:val="00361811"/>
    <w:rsid w:val="00362010"/>
    <w:rsid w:val="00364CD8"/>
    <w:rsid w:val="00370C53"/>
    <w:rsid w:val="00372441"/>
    <w:rsid w:val="00372462"/>
    <w:rsid w:val="0037258B"/>
    <w:rsid w:val="00373756"/>
    <w:rsid w:val="00374C35"/>
    <w:rsid w:val="00376DBB"/>
    <w:rsid w:val="00381DAB"/>
    <w:rsid w:val="003822E1"/>
    <w:rsid w:val="003826B0"/>
    <w:rsid w:val="00382D1D"/>
    <w:rsid w:val="0038382F"/>
    <w:rsid w:val="00383A2A"/>
    <w:rsid w:val="00384FCD"/>
    <w:rsid w:val="003851B2"/>
    <w:rsid w:val="003854D3"/>
    <w:rsid w:val="0038635E"/>
    <w:rsid w:val="00387405"/>
    <w:rsid w:val="003908D2"/>
    <w:rsid w:val="003924D0"/>
    <w:rsid w:val="0039358A"/>
    <w:rsid w:val="00393BE6"/>
    <w:rsid w:val="0039509B"/>
    <w:rsid w:val="0039525B"/>
    <w:rsid w:val="003A3AB0"/>
    <w:rsid w:val="003A6233"/>
    <w:rsid w:val="003A6785"/>
    <w:rsid w:val="003B39B2"/>
    <w:rsid w:val="003B3DB9"/>
    <w:rsid w:val="003B6128"/>
    <w:rsid w:val="003B7708"/>
    <w:rsid w:val="003C2022"/>
    <w:rsid w:val="003C24AD"/>
    <w:rsid w:val="003D118C"/>
    <w:rsid w:val="003D1CE5"/>
    <w:rsid w:val="003D2601"/>
    <w:rsid w:val="003D27E3"/>
    <w:rsid w:val="003D28E6"/>
    <w:rsid w:val="003D7469"/>
    <w:rsid w:val="003E1491"/>
    <w:rsid w:val="003E2C04"/>
    <w:rsid w:val="003E3757"/>
    <w:rsid w:val="003E693A"/>
    <w:rsid w:val="003F0A3B"/>
    <w:rsid w:val="003F14B9"/>
    <w:rsid w:val="003F2833"/>
    <w:rsid w:val="003F3D65"/>
    <w:rsid w:val="004022BD"/>
    <w:rsid w:val="00403F69"/>
    <w:rsid w:val="00405198"/>
    <w:rsid w:val="00411A83"/>
    <w:rsid w:val="00412A7D"/>
    <w:rsid w:val="00413BB8"/>
    <w:rsid w:val="00415C7A"/>
    <w:rsid w:val="004179FD"/>
    <w:rsid w:val="00421157"/>
    <w:rsid w:val="0042209D"/>
    <w:rsid w:val="0042343B"/>
    <w:rsid w:val="004237EB"/>
    <w:rsid w:val="0042474E"/>
    <w:rsid w:val="00425E32"/>
    <w:rsid w:val="00425F41"/>
    <w:rsid w:val="00432D7F"/>
    <w:rsid w:val="00436909"/>
    <w:rsid w:val="00437FD0"/>
    <w:rsid w:val="004402AC"/>
    <w:rsid w:val="004403EE"/>
    <w:rsid w:val="00440948"/>
    <w:rsid w:val="0044231D"/>
    <w:rsid w:val="004452D5"/>
    <w:rsid w:val="00446AFD"/>
    <w:rsid w:val="004528AF"/>
    <w:rsid w:val="0045307C"/>
    <w:rsid w:val="004536D7"/>
    <w:rsid w:val="00455BF7"/>
    <w:rsid w:val="00455FC4"/>
    <w:rsid w:val="00456F88"/>
    <w:rsid w:val="0045725F"/>
    <w:rsid w:val="00457F98"/>
    <w:rsid w:val="00463C4C"/>
    <w:rsid w:val="00463E8D"/>
    <w:rsid w:val="00470E93"/>
    <w:rsid w:val="004713C2"/>
    <w:rsid w:val="00472F34"/>
    <w:rsid w:val="0047469B"/>
    <w:rsid w:val="004761A5"/>
    <w:rsid w:val="00477B3D"/>
    <w:rsid w:val="00480FAC"/>
    <w:rsid w:val="00482C15"/>
    <w:rsid w:val="004838D9"/>
    <w:rsid w:val="00484822"/>
    <w:rsid w:val="00485D55"/>
    <w:rsid w:val="00487A10"/>
    <w:rsid w:val="00487BF8"/>
    <w:rsid w:val="0049409E"/>
    <w:rsid w:val="004A3F30"/>
    <w:rsid w:val="004A4757"/>
    <w:rsid w:val="004B161C"/>
    <w:rsid w:val="004B22B8"/>
    <w:rsid w:val="004B3979"/>
    <w:rsid w:val="004B3E41"/>
    <w:rsid w:val="004B552B"/>
    <w:rsid w:val="004B7C07"/>
    <w:rsid w:val="004C3E9B"/>
    <w:rsid w:val="004C48D8"/>
    <w:rsid w:val="004C56FE"/>
    <w:rsid w:val="004C5CC0"/>
    <w:rsid w:val="004C602D"/>
    <w:rsid w:val="004C6CD8"/>
    <w:rsid w:val="004D487C"/>
    <w:rsid w:val="004D5473"/>
    <w:rsid w:val="004D7029"/>
    <w:rsid w:val="004D7F97"/>
    <w:rsid w:val="004E1B0E"/>
    <w:rsid w:val="004E1F2B"/>
    <w:rsid w:val="004F2363"/>
    <w:rsid w:val="004F2969"/>
    <w:rsid w:val="004F353F"/>
    <w:rsid w:val="004F62CF"/>
    <w:rsid w:val="00502FAD"/>
    <w:rsid w:val="00507DF5"/>
    <w:rsid w:val="00507F96"/>
    <w:rsid w:val="005121D2"/>
    <w:rsid w:val="00513C73"/>
    <w:rsid w:val="00513E84"/>
    <w:rsid w:val="00517058"/>
    <w:rsid w:val="005170BD"/>
    <w:rsid w:val="00517918"/>
    <w:rsid w:val="0052385B"/>
    <w:rsid w:val="0052413A"/>
    <w:rsid w:val="00524B32"/>
    <w:rsid w:val="00524DEC"/>
    <w:rsid w:val="0052748A"/>
    <w:rsid w:val="0052769A"/>
    <w:rsid w:val="00527DE8"/>
    <w:rsid w:val="005324A5"/>
    <w:rsid w:val="00537D42"/>
    <w:rsid w:val="00537FBE"/>
    <w:rsid w:val="00541A6A"/>
    <w:rsid w:val="00542523"/>
    <w:rsid w:val="00546D71"/>
    <w:rsid w:val="0054791C"/>
    <w:rsid w:val="0055118D"/>
    <w:rsid w:val="0055340D"/>
    <w:rsid w:val="0055385D"/>
    <w:rsid w:val="00553ACA"/>
    <w:rsid w:val="00561640"/>
    <w:rsid w:val="00563CB8"/>
    <w:rsid w:val="00563DC9"/>
    <w:rsid w:val="005641F5"/>
    <w:rsid w:val="00565871"/>
    <w:rsid w:val="00566F0E"/>
    <w:rsid w:val="00567E85"/>
    <w:rsid w:val="00570901"/>
    <w:rsid w:val="00571000"/>
    <w:rsid w:val="00576E4A"/>
    <w:rsid w:val="00581401"/>
    <w:rsid w:val="005837C5"/>
    <w:rsid w:val="00583BA6"/>
    <w:rsid w:val="00583FF7"/>
    <w:rsid w:val="00585771"/>
    <w:rsid w:val="00585A0D"/>
    <w:rsid w:val="005875D8"/>
    <w:rsid w:val="00592D68"/>
    <w:rsid w:val="00593697"/>
    <w:rsid w:val="00593992"/>
    <w:rsid w:val="00595905"/>
    <w:rsid w:val="005960E3"/>
    <w:rsid w:val="005A555C"/>
    <w:rsid w:val="005A6864"/>
    <w:rsid w:val="005A7863"/>
    <w:rsid w:val="005A7968"/>
    <w:rsid w:val="005B1699"/>
    <w:rsid w:val="005B22B2"/>
    <w:rsid w:val="005B3D78"/>
    <w:rsid w:val="005B4A26"/>
    <w:rsid w:val="005B7E6E"/>
    <w:rsid w:val="005C4572"/>
    <w:rsid w:val="005C4B57"/>
    <w:rsid w:val="005C7B5F"/>
    <w:rsid w:val="005D7C72"/>
    <w:rsid w:val="005E083A"/>
    <w:rsid w:val="005E2E87"/>
    <w:rsid w:val="005F147C"/>
    <w:rsid w:val="005F3F34"/>
    <w:rsid w:val="005F4B4C"/>
    <w:rsid w:val="005F5D35"/>
    <w:rsid w:val="005F657A"/>
    <w:rsid w:val="005F7C31"/>
    <w:rsid w:val="0060179C"/>
    <w:rsid w:val="00603970"/>
    <w:rsid w:val="006044CD"/>
    <w:rsid w:val="00607856"/>
    <w:rsid w:val="00610DB8"/>
    <w:rsid w:val="006124D5"/>
    <w:rsid w:val="00615E9C"/>
    <w:rsid w:val="006225CA"/>
    <w:rsid w:val="0062277B"/>
    <w:rsid w:val="00624D47"/>
    <w:rsid w:val="006261E1"/>
    <w:rsid w:val="00626E4A"/>
    <w:rsid w:val="0063561E"/>
    <w:rsid w:val="00635E1C"/>
    <w:rsid w:val="0063653C"/>
    <w:rsid w:val="006375AF"/>
    <w:rsid w:val="00640BDC"/>
    <w:rsid w:val="006414CD"/>
    <w:rsid w:val="00641556"/>
    <w:rsid w:val="00641DC5"/>
    <w:rsid w:val="0064234F"/>
    <w:rsid w:val="00643550"/>
    <w:rsid w:val="00644540"/>
    <w:rsid w:val="00645C3F"/>
    <w:rsid w:val="00646088"/>
    <w:rsid w:val="00650B66"/>
    <w:rsid w:val="00651092"/>
    <w:rsid w:val="00653ABB"/>
    <w:rsid w:val="00660634"/>
    <w:rsid w:val="00660661"/>
    <w:rsid w:val="0066211A"/>
    <w:rsid w:val="006637E7"/>
    <w:rsid w:val="00663A00"/>
    <w:rsid w:val="006661AE"/>
    <w:rsid w:val="006667A3"/>
    <w:rsid w:val="0068018C"/>
    <w:rsid w:val="006807AD"/>
    <w:rsid w:val="00684179"/>
    <w:rsid w:val="0069201F"/>
    <w:rsid w:val="0069247E"/>
    <w:rsid w:val="00693C63"/>
    <w:rsid w:val="00696173"/>
    <w:rsid w:val="006A09D6"/>
    <w:rsid w:val="006A1FBB"/>
    <w:rsid w:val="006A3594"/>
    <w:rsid w:val="006B052F"/>
    <w:rsid w:val="006B0965"/>
    <w:rsid w:val="006B61DD"/>
    <w:rsid w:val="006B7CCB"/>
    <w:rsid w:val="006C511E"/>
    <w:rsid w:val="006C7A35"/>
    <w:rsid w:val="006D4206"/>
    <w:rsid w:val="006D5208"/>
    <w:rsid w:val="006E20BA"/>
    <w:rsid w:val="006E314B"/>
    <w:rsid w:val="006E4C84"/>
    <w:rsid w:val="006E7A67"/>
    <w:rsid w:val="006E7D3C"/>
    <w:rsid w:val="006F0CA5"/>
    <w:rsid w:val="006F38A8"/>
    <w:rsid w:val="006F3BD7"/>
    <w:rsid w:val="006F4F0B"/>
    <w:rsid w:val="006F5F96"/>
    <w:rsid w:val="006F7CF7"/>
    <w:rsid w:val="00706F7A"/>
    <w:rsid w:val="00707670"/>
    <w:rsid w:val="007101AD"/>
    <w:rsid w:val="00713B97"/>
    <w:rsid w:val="007154BD"/>
    <w:rsid w:val="0071568E"/>
    <w:rsid w:val="007203C4"/>
    <w:rsid w:val="00721437"/>
    <w:rsid w:val="0072440D"/>
    <w:rsid w:val="00724760"/>
    <w:rsid w:val="00725D51"/>
    <w:rsid w:val="00730123"/>
    <w:rsid w:val="00730909"/>
    <w:rsid w:val="0073192F"/>
    <w:rsid w:val="00731FA7"/>
    <w:rsid w:val="00733C74"/>
    <w:rsid w:val="00734323"/>
    <w:rsid w:val="00737EE7"/>
    <w:rsid w:val="00740C6A"/>
    <w:rsid w:val="00741955"/>
    <w:rsid w:val="00744A77"/>
    <w:rsid w:val="00746252"/>
    <w:rsid w:val="00757EFD"/>
    <w:rsid w:val="007623AE"/>
    <w:rsid w:val="0076269D"/>
    <w:rsid w:val="00766336"/>
    <w:rsid w:val="0076658E"/>
    <w:rsid w:val="00766F3D"/>
    <w:rsid w:val="00767641"/>
    <w:rsid w:val="00772135"/>
    <w:rsid w:val="00772FCA"/>
    <w:rsid w:val="0077398D"/>
    <w:rsid w:val="00773BD6"/>
    <w:rsid w:val="00784359"/>
    <w:rsid w:val="007918F5"/>
    <w:rsid w:val="00794008"/>
    <w:rsid w:val="00796D57"/>
    <w:rsid w:val="00797281"/>
    <w:rsid w:val="007A5EE0"/>
    <w:rsid w:val="007A7119"/>
    <w:rsid w:val="007B0EC1"/>
    <w:rsid w:val="007B0EDD"/>
    <w:rsid w:val="007B18BA"/>
    <w:rsid w:val="007B3178"/>
    <w:rsid w:val="007B5F5E"/>
    <w:rsid w:val="007B764B"/>
    <w:rsid w:val="007B7837"/>
    <w:rsid w:val="007C029B"/>
    <w:rsid w:val="007C14C1"/>
    <w:rsid w:val="007C7DB0"/>
    <w:rsid w:val="007D11E2"/>
    <w:rsid w:val="007D1715"/>
    <w:rsid w:val="007D2F12"/>
    <w:rsid w:val="007D4729"/>
    <w:rsid w:val="007E0BFD"/>
    <w:rsid w:val="007E463A"/>
    <w:rsid w:val="007E4E86"/>
    <w:rsid w:val="007E5941"/>
    <w:rsid w:val="007E7665"/>
    <w:rsid w:val="007F30B1"/>
    <w:rsid w:val="007F76FC"/>
    <w:rsid w:val="007F77FC"/>
    <w:rsid w:val="00804C62"/>
    <w:rsid w:val="008050C0"/>
    <w:rsid w:val="00807C6B"/>
    <w:rsid w:val="00810B88"/>
    <w:rsid w:val="008139A0"/>
    <w:rsid w:val="00814E5E"/>
    <w:rsid w:val="00814EF9"/>
    <w:rsid w:val="008151E5"/>
    <w:rsid w:val="00815DC4"/>
    <w:rsid w:val="0082042E"/>
    <w:rsid w:val="00820EF9"/>
    <w:rsid w:val="0082210F"/>
    <w:rsid w:val="008228CD"/>
    <w:rsid w:val="00825DA3"/>
    <w:rsid w:val="008261D2"/>
    <w:rsid w:val="008273F3"/>
    <w:rsid w:val="00830805"/>
    <w:rsid w:val="00831B4C"/>
    <w:rsid w:val="008336BE"/>
    <w:rsid w:val="00834ABB"/>
    <w:rsid w:val="00834C9C"/>
    <w:rsid w:val="00835495"/>
    <w:rsid w:val="00837D3C"/>
    <w:rsid w:val="008434A6"/>
    <w:rsid w:val="0084358E"/>
    <w:rsid w:val="00847A03"/>
    <w:rsid w:val="00847C13"/>
    <w:rsid w:val="00850CE6"/>
    <w:rsid w:val="00853CF3"/>
    <w:rsid w:val="00854BB3"/>
    <w:rsid w:val="008572B2"/>
    <w:rsid w:val="00860A88"/>
    <w:rsid w:val="0086197E"/>
    <w:rsid w:val="00862DF7"/>
    <w:rsid w:val="00864A80"/>
    <w:rsid w:val="00864FD5"/>
    <w:rsid w:val="00867A2D"/>
    <w:rsid w:val="00872393"/>
    <w:rsid w:val="008732CC"/>
    <w:rsid w:val="00874AF4"/>
    <w:rsid w:val="00875D0A"/>
    <w:rsid w:val="00876632"/>
    <w:rsid w:val="00880AAD"/>
    <w:rsid w:val="00880AD9"/>
    <w:rsid w:val="00883761"/>
    <w:rsid w:val="00884AB6"/>
    <w:rsid w:val="00885B0A"/>
    <w:rsid w:val="008907FE"/>
    <w:rsid w:val="00891071"/>
    <w:rsid w:val="00893930"/>
    <w:rsid w:val="00893A85"/>
    <w:rsid w:val="008945CD"/>
    <w:rsid w:val="00897E18"/>
    <w:rsid w:val="008A0F55"/>
    <w:rsid w:val="008A10A0"/>
    <w:rsid w:val="008A1774"/>
    <w:rsid w:val="008A2DA8"/>
    <w:rsid w:val="008A5010"/>
    <w:rsid w:val="008A5D86"/>
    <w:rsid w:val="008A7263"/>
    <w:rsid w:val="008B1311"/>
    <w:rsid w:val="008B1A8C"/>
    <w:rsid w:val="008B31CC"/>
    <w:rsid w:val="008B456C"/>
    <w:rsid w:val="008B5DE1"/>
    <w:rsid w:val="008B649B"/>
    <w:rsid w:val="008C12F4"/>
    <w:rsid w:val="008C1826"/>
    <w:rsid w:val="008C308D"/>
    <w:rsid w:val="008C4B1D"/>
    <w:rsid w:val="008C517D"/>
    <w:rsid w:val="008C7679"/>
    <w:rsid w:val="008D0396"/>
    <w:rsid w:val="008D0D7A"/>
    <w:rsid w:val="008D1288"/>
    <w:rsid w:val="008D3566"/>
    <w:rsid w:val="008D3BC0"/>
    <w:rsid w:val="008D5D6B"/>
    <w:rsid w:val="008D6F27"/>
    <w:rsid w:val="008E2674"/>
    <w:rsid w:val="009000C9"/>
    <w:rsid w:val="00901C0D"/>
    <w:rsid w:val="00903236"/>
    <w:rsid w:val="00903274"/>
    <w:rsid w:val="00903656"/>
    <w:rsid w:val="00905912"/>
    <w:rsid w:val="009062ED"/>
    <w:rsid w:val="0090630F"/>
    <w:rsid w:val="00907673"/>
    <w:rsid w:val="0090775D"/>
    <w:rsid w:val="00910D8E"/>
    <w:rsid w:val="009135A8"/>
    <w:rsid w:val="009160A1"/>
    <w:rsid w:val="0091722D"/>
    <w:rsid w:val="00922E34"/>
    <w:rsid w:val="0092593E"/>
    <w:rsid w:val="009263DE"/>
    <w:rsid w:val="00933100"/>
    <w:rsid w:val="00933791"/>
    <w:rsid w:val="00933B56"/>
    <w:rsid w:val="00937C9E"/>
    <w:rsid w:val="009403AD"/>
    <w:rsid w:val="0094277B"/>
    <w:rsid w:val="00945AFD"/>
    <w:rsid w:val="00954AC8"/>
    <w:rsid w:val="00954C54"/>
    <w:rsid w:val="009563DE"/>
    <w:rsid w:val="0096199D"/>
    <w:rsid w:val="00962802"/>
    <w:rsid w:val="00963CDE"/>
    <w:rsid w:val="00966D72"/>
    <w:rsid w:val="00967678"/>
    <w:rsid w:val="0097223B"/>
    <w:rsid w:val="009732BA"/>
    <w:rsid w:val="0098148A"/>
    <w:rsid w:val="009859E7"/>
    <w:rsid w:val="00986537"/>
    <w:rsid w:val="009870D8"/>
    <w:rsid w:val="00993BDF"/>
    <w:rsid w:val="009A0390"/>
    <w:rsid w:val="009A3159"/>
    <w:rsid w:val="009A5312"/>
    <w:rsid w:val="009B0F30"/>
    <w:rsid w:val="009B12D0"/>
    <w:rsid w:val="009B14FE"/>
    <w:rsid w:val="009B170B"/>
    <w:rsid w:val="009B4FE2"/>
    <w:rsid w:val="009B7417"/>
    <w:rsid w:val="009B7C85"/>
    <w:rsid w:val="009C0391"/>
    <w:rsid w:val="009C2014"/>
    <w:rsid w:val="009C3C09"/>
    <w:rsid w:val="009D0B7A"/>
    <w:rsid w:val="009D12CD"/>
    <w:rsid w:val="009D2572"/>
    <w:rsid w:val="009D60CF"/>
    <w:rsid w:val="009E03E8"/>
    <w:rsid w:val="009E05C6"/>
    <w:rsid w:val="009E0761"/>
    <w:rsid w:val="009E07D2"/>
    <w:rsid w:val="009E1DF5"/>
    <w:rsid w:val="009E3970"/>
    <w:rsid w:val="009E734D"/>
    <w:rsid w:val="009F121C"/>
    <w:rsid w:val="009F31D9"/>
    <w:rsid w:val="009F3652"/>
    <w:rsid w:val="009F488C"/>
    <w:rsid w:val="00A0163A"/>
    <w:rsid w:val="00A07A4E"/>
    <w:rsid w:val="00A14F0A"/>
    <w:rsid w:val="00A20096"/>
    <w:rsid w:val="00A213D5"/>
    <w:rsid w:val="00A24DAB"/>
    <w:rsid w:val="00A253EA"/>
    <w:rsid w:val="00A32047"/>
    <w:rsid w:val="00A32E00"/>
    <w:rsid w:val="00A4462B"/>
    <w:rsid w:val="00A4688B"/>
    <w:rsid w:val="00A5080E"/>
    <w:rsid w:val="00A56459"/>
    <w:rsid w:val="00A641A4"/>
    <w:rsid w:val="00A65FF8"/>
    <w:rsid w:val="00A66059"/>
    <w:rsid w:val="00A67441"/>
    <w:rsid w:val="00A679D0"/>
    <w:rsid w:val="00A75116"/>
    <w:rsid w:val="00A77308"/>
    <w:rsid w:val="00A80797"/>
    <w:rsid w:val="00A80A01"/>
    <w:rsid w:val="00A81A14"/>
    <w:rsid w:val="00A83E7A"/>
    <w:rsid w:val="00A860EB"/>
    <w:rsid w:val="00A908AC"/>
    <w:rsid w:val="00A948B3"/>
    <w:rsid w:val="00A95D29"/>
    <w:rsid w:val="00A95E92"/>
    <w:rsid w:val="00A968CA"/>
    <w:rsid w:val="00AA01C0"/>
    <w:rsid w:val="00AA0831"/>
    <w:rsid w:val="00AA1DC0"/>
    <w:rsid w:val="00AA234F"/>
    <w:rsid w:val="00AA3377"/>
    <w:rsid w:val="00AA55B1"/>
    <w:rsid w:val="00AA5F43"/>
    <w:rsid w:val="00AB630A"/>
    <w:rsid w:val="00AC1BE4"/>
    <w:rsid w:val="00AC1DE5"/>
    <w:rsid w:val="00AC1F67"/>
    <w:rsid w:val="00AC2AB4"/>
    <w:rsid w:val="00AC2E2B"/>
    <w:rsid w:val="00AC6562"/>
    <w:rsid w:val="00AC724E"/>
    <w:rsid w:val="00AC7C5C"/>
    <w:rsid w:val="00AD23A4"/>
    <w:rsid w:val="00AD26BF"/>
    <w:rsid w:val="00AD2E2E"/>
    <w:rsid w:val="00AD440D"/>
    <w:rsid w:val="00AD5435"/>
    <w:rsid w:val="00AD7990"/>
    <w:rsid w:val="00AE01CA"/>
    <w:rsid w:val="00AE14E2"/>
    <w:rsid w:val="00AE16E7"/>
    <w:rsid w:val="00AE3076"/>
    <w:rsid w:val="00AE5A27"/>
    <w:rsid w:val="00AF0B4D"/>
    <w:rsid w:val="00AF1F26"/>
    <w:rsid w:val="00AF3526"/>
    <w:rsid w:val="00AF5A63"/>
    <w:rsid w:val="00B00346"/>
    <w:rsid w:val="00B01708"/>
    <w:rsid w:val="00B044E7"/>
    <w:rsid w:val="00B07AD4"/>
    <w:rsid w:val="00B10BF2"/>
    <w:rsid w:val="00B1409A"/>
    <w:rsid w:val="00B1519F"/>
    <w:rsid w:val="00B16F38"/>
    <w:rsid w:val="00B205E1"/>
    <w:rsid w:val="00B20B90"/>
    <w:rsid w:val="00B231AA"/>
    <w:rsid w:val="00B23AD5"/>
    <w:rsid w:val="00B2597C"/>
    <w:rsid w:val="00B27639"/>
    <w:rsid w:val="00B30BF5"/>
    <w:rsid w:val="00B31BA2"/>
    <w:rsid w:val="00B44A58"/>
    <w:rsid w:val="00B46C45"/>
    <w:rsid w:val="00B47040"/>
    <w:rsid w:val="00B5282C"/>
    <w:rsid w:val="00B532D7"/>
    <w:rsid w:val="00B57A9F"/>
    <w:rsid w:val="00B607F4"/>
    <w:rsid w:val="00B6092B"/>
    <w:rsid w:val="00B66DB7"/>
    <w:rsid w:val="00B71188"/>
    <w:rsid w:val="00B7194E"/>
    <w:rsid w:val="00B7372F"/>
    <w:rsid w:val="00B74A90"/>
    <w:rsid w:val="00B75489"/>
    <w:rsid w:val="00B76D5E"/>
    <w:rsid w:val="00B80621"/>
    <w:rsid w:val="00B81479"/>
    <w:rsid w:val="00B874C1"/>
    <w:rsid w:val="00B92D0F"/>
    <w:rsid w:val="00B95C68"/>
    <w:rsid w:val="00B97E9D"/>
    <w:rsid w:val="00BA15C4"/>
    <w:rsid w:val="00BA4548"/>
    <w:rsid w:val="00BA46CB"/>
    <w:rsid w:val="00BA536E"/>
    <w:rsid w:val="00BA6CB2"/>
    <w:rsid w:val="00BA6E05"/>
    <w:rsid w:val="00BA7D7C"/>
    <w:rsid w:val="00BA7F1C"/>
    <w:rsid w:val="00BB27BA"/>
    <w:rsid w:val="00BB3301"/>
    <w:rsid w:val="00BB3487"/>
    <w:rsid w:val="00BB459A"/>
    <w:rsid w:val="00BB4709"/>
    <w:rsid w:val="00BC01C1"/>
    <w:rsid w:val="00BC1873"/>
    <w:rsid w:val="00BC1AAB"/>
    <w:rsid w:val="00BC3880"/>
    <w:rsid w:val="00BC4ADE"/>
    <w:rsid w:val="00BC54A9"/>
    <w:rsid w:val="00BC55AA"/>
    <w:rsid w:val="00BC5C6F"/>
    <w:rsid w:val="00BD28C9"/>
    <w:rsid w:val="00BD3B0E"/>
    <w:rsid w:val="00BD4329"/>
    <w:rsid w:val="00BD7931"/>
    <w:rsid w:val="00BD7AD4"/>
    <w:rsid w:val="00BD7B6F"/>
    <w:rsid w:val="00BD7D5C"/>
    <w:rsid w:val="00BE2914"/>
    <w:rsid w:val="00BE4EBD"/>
    <w:rsid w:val="00BE6EFE"/>
    <w:rsid w:val="00BF3A5B"/>
    <w:rsid w:val="00BF6DF5"/>
    <w:rsid w:val="00C02E75"/>
    <w:rsid w:val="00C02EC2"/>
    <w:rsid w:val="00C07C6C"/>
    <w:rsid w:val="00C07D88"/>
    <w:rsid w:val="00C10E19"/>
    <w:rsid w:val="00C11CE5"/>
    <w:rsid w:val="00C127D9"/>
    <w:rsid w:val="00C1388A"/>
    <w:rsid w:val="00C14B28"/>
    <w:rsid w:val="00C151B9"/>
    <w:rsid w:val="00C17AF0"/>
    <w:rsid w:val="00C20364"/>
    <w:rsid w:val="00C207FF"/>
    <w:rsid w:val="00C208EA"/>
    <w:rsid w:val="00C2112C"/>
    <w:rsid w:val="00C2283A"/>
    <w:rsid w:val="00C23A51"/>
    <w:rsid w:val="00C252EF"/>
    <w:rsid w:val="00C25C43"/>
    <w:rsid w:val="00C27E34"/>
    <w:rsid w:val="00C31C00"/>
    <w:rsid w:val="00C34B83"/>
    <w:rsid w:val="00C34FC9"/>
    <w:rsid w:val="00C419B4"/>
    <w:rsid w:val="00C424C5"/>
    <w:rsid w:val="00C42C58"/>
    <w:rsid w:val="00C441BE"/>
    <w:rsid w:val="00C4787C"/>
    <w:rsid w:val="00C5015B"/>
    <w:rsid w:val="00C5060E"/>
    <w:rsid w:val="00C512D6"/>
    <w:rsid w:val="00C52FD6"/>
    <w:rsid w:val="00C637C7"/>
    <w:rsid w:val="00C6715C"/>
    <w:rsid w:val="00C7162F"/>
    <w:rsid w:val="00C745E1"/>
    <w:rsid w:val="00C75C20"/>
    <w:rsid w:val="00C80377"/>
    <w:rsid w:val="00C87ED4"/>
    <w:rsid w:val="00C90535"/>
    <w:rsid w:val="00C915AC"/>
    <w:rsid w:val="00C91A04"/>
    <w:rsid w:val="00C920BB"/>
    <w:rsid w:val="00C9359E"/>
    <w:rsid w:val="00C94AC5"/>
    <w:rsid w:val="00C9623A"/>
    <w:rsid w:val="00CA2348"/>
    <w:rsid w:val="00CA53F8"/>
    <w:rsid w:val="00CA6CC7"/>
    <w:rsid w:val="00CA7D34"/>
    <w:rsid w:val="00CB151E"/>
    <w:rsid w:val="00CB4795"/>
    <w:rsid w:val="00CB5F6A"/>
    <w:rsid w:val="00CC1BF8"/>
    <w:rsid w:val="00CC2982"/>
    <w:rsid w:val="00CC3C0C"/>
    <w:rsid w:val="00CC3C40"/>
    <w:rsid w:val="00CC605E"/>
    <w:rsid w:val="00CC6E60"/>
    <w:rsid w:val="00CD1A34"/>
    <w:rsid w:val="00CD3657"/>
    <w:rsid w:val="00CD3A81"/>
    <w:rsid w:val="00CD3B89"/>
    <w:rsid w:val="00CD4793"/>
    <w:rsid w:val="00CD6035"/>
    <w:rsid w:val="00CD61D0"/>
    <w:rsid w:val="00CE0D9A"/>
    <w:rsid w:val="00CE2836"/>
    <w:rsid w:val="00CE5BEA"/>
    <w:rsid w:val="00CE6C54"/>
    <w:rsid w:val="00CF0352"/>
    <w:rsid w:val="00CF08C2"/>
    <w:rsid w:val="00CF2185"/>
    <w:rsid w:val="00CF2582"/>
    <w:rsid w:val="00CF2986"/>
    <w:rsid w:val="00CF2F96"/>
    <w:rsid w:val="00CF3731"/>
    <w:rsid w:val="00CF3F93"/>
    <w:rsid w:val="00CF3FD6"/>
    <w:rsid w:val="00CF498D"/>
    <w:rsid w:val="00D031FA"/>
    <w:rsid w:val="00D037CB"/>
    <w:rsid w:val="00D04066"/>
    <w:rsid w:val="00D05651"/>
    <w:rsid w:val="00D066C5"/>
    <w:rsid w:val="00D22B12"/>
    <w:rsid w:val="00D2326D"/>
    <w:rsid w:val="00D24711"/>
    <w:rsid w:val="00D257AC"/>
    <w:rsid w:val="00D261AB"/>
    <w:rsid w:val="00D3179C"/>
    <w:rsid w:val="00D31C4D"/>
    <w:rsid w:val="00D3492E"/>
    <w:rsid w:val="00D36C11"/>
    <w:rsid w:val="00D374A9"/>
    <w:rsid w:val="00D41B54"/>
    <w:rsid w:val="00D4259D"/>
    <w:rsid w:val="00D4421B"/>
    <w:rsid w:val="00D44710"/>
    <w:rsid w:val="00D450C7"/>
    <w:rsid w:val="00D46519"/>
    <w:rsid w:val="00D46525"/>
    <w:rsid w:val="00D4700C"/>
    <w:rsid w:val="00D479EE"/>
    <w:rsid w:val="00D50A53"/>
    <w:rsid w:val="00D52801"/>
    <w:rsid w:val="00D5676B"/>
    <w:rsid w:val="00D56F9E"/>
    <w:rsid w:val="00D57066"/>
    <w:rsid w:val="00D60AE7"/>
    <w:rsid w:val="00D63BE0"/>
    <w:rsid w:val="00D66B73"/>
    <w:rsid w:val="00D714F5"/>
    <w:rsid w:val="00D84BA9"/>
    <w:rsid w:val="00D84D84"/>
    <w:rsid w:val="00D8705C"/>
    <w:rsid w:val="00D91A16"/>
    <w:rsid w:val="00D920A6"/>
    <w:rsid w:val="00D9328F"/>
    <w:rsid w:val="00D93A36"/>
    <w:rsid w:val="00D947DE"/>
    <w:rsid w:val="00D94FAB"/>
    <w:rsid w:val="00D95A65"/>
    <w:rsid w:val="00D96475"/>
    <w:rsid w:val="00D96562"/>
    <w:rsid w:val="00DA030E"/>
    <w:rsid w:val="00DA04C1"/>
    <w:rsid w:val="00DA6887"/>
    <w:rsid w:val="00DB34C3"/>
    <w:rsid w:val="00DB3C98"/>
    <w:rsid w:val="00DC0419"/>
    <w:rsid w:val="00DC0591"/>
    <w:rsid w:val="00DC3690"/>
    <w:rsid w:val="00DC5069"/>
    <w:rsid w:val="00DC5A27"/>
    <w:rsid w:val="00DC7604"/>
    <w:rsid w:val="00DC7B02"/>
    <w:rsid w:val="00DC7EE4"/>
    <w:rsid w:val="00DC7F98"/>
    <w:rsid w:val="00DD0BEE"/>
    <w:rsid w:val="00DD1CDD"/>
    <w:rsid w:val="00DD207B"/>
    <w:rsid w:val="00DD6609"/>
    <w:rsid w:val="00DD6BA0"/>
    <w:rsid w:val="00DD7E21"/>
    <w:rsid w:val="00DE081A"/>
    <w:rsid w:val="00DE08E6"/>
    <w:rsid w:val="00DE3ACB"/>
    <w:rsid w:val="00DF3D1C"/>
    <w:rsid w:val="00DF5111"/>
    <w:rsid w:val="00DF5902"/>
    <w:rsid w:val="00E0286B"/>
    <w:rsid w:val="00E03297"/>
    <w:rsid w:val="00E14480"/>
    <w:rsid w:val="00E16070"/>
    <w:rsid w:val="00E161F0"/>
    <w:rsid w:val="00E173B3"/>
    <w:rsid w:val="00E22185"/>
    <w:rsid w:val="00E223DA"/>
    <w:rsid w:val="00E22A24"/>
    <w:rsid w:val="00E26A26"/>
    <w:rsid w:val="00E31D9D"/>
    <w:rsid w:val="00E3245A"/>
    <w:rsid w:val="00E400EE"/>
    <w:rsid w:val="00E42E82"/>
    <w:rsid w:val="00E45753"/>
    <w:rsid w:val="00E46711"/>
    <w:rsid w:val="00E53E91"/>
    <w:rsid w:val="00E560AD"/>
    <w:rsid w:val="00E56C25"/>
    <w:rsid w:val="00E6036C"/>
    <w:rsid w:val="00E60525"/>
    <w:rsid w:val="00E60BB0"/>
    <w:rsid w:val="00E618D5"/>
    <w:rsid w:val="00E63363"/>
    <w:rsid w:val="00E654CD"/>
    <w:rsid w:val="00E6588C"/>
    <w:rsid w:val="00E659A5"/>
    <w:rsid w:val="00E65C14"/>
    <w:rsid w:val="00E65FAC"/>
    <w:rsid w:val="00E70B6D"/>
    <w:rsid w:val="00E74D58"/>
    <w:rsid w:val="00E7559A"/>
    <w:rsid w:val="00E7754E"/>
    <w:rsid w:val="00E77C65"/>
    <w:rsid w:val="00E809B6"/>
    <w:rsid w:val="00E9190E"/>
    <w:rsid w:val="00E91AB1"/>
    <w:rsid w:val="00E920BF"/>
    <w:rsid w:val="00E93803"/>
    <w:rsid w:val="00E946A0"/>
    <w:rsid w:val="00E95FB9"/>
    <w:rsid w:val="00EA0C17"/>
    <w:rsid w:val="00EA3693"/>
    <w:rsid w:val="00EA3A29"/>
    <w:rsid w:val="00EA44C5"/>
    <w:rsid w:val="00EA5702"/>
    <w:rsid w:val="00EA701B"/>
    <w:rsid w:val="00EA74B5"/>
    <w:rsid w:val="00EB4655"/>
    <w:rsid w:val="00EB4AAC"/>
    <w:rsid w:val="00EB65FB"/>
    <w:rsid w:val="00EB6A20"/>
    <w:rsid w:val="00EB6B9A"/>
    <w:rsid w:val="00EB6D24"/>
    <w:rsid w:val="00EB7472"/>
    <w:rsid w:val="00EB782B"/>
    <w:rsid w:val="00EC15E4"/>
    <w:rsid w:val="00EC178A"/>
    <w:rsid w:val="00EC19E0"/>
    <w:rsid w:val="00EC1E30"/>
    <w:rsid w:val="00EC238E"/>
    <w:rsid w:val="00EC3F22"/>
    <w:rsid w:val="00EC4B88"/>
    <w:rsid w:val="00EC4DF4"/>
    <w:rsid w:val="00EC6037"/>
    <w:rsid w:val="00EC6901"/>
    <w:rsid w:val="00ED0044"/>
    <w:rsid w:val="00ED34EC"/>
    <w:rsid w:val="00ED491F"/>
    <w:rsid w:val="00ED5269"/>
    <w:rsid w:val="00EE360E"/>
    <w:rsid w:val="00EE3E2A"/>
    <w:rsid w:val="00EE5F60"/>
    <w:rsid w:val="00EE6071"/>
    <w:rsid w:val="00EE66B9"/>
    <w:rsid w:val="00EE7A75"/>
    <w:rsid w:val="00EE7E77"/>
    <w:rsid w:val="00EF01CF"/>
    <w:rsid w:val="00EF12C5"/>
    <w:rsid w:val="00EF3C41"/>
    <w:rsid w:val="00F01EEC"/>
    <w:rsid w:val="00F062D8"/>
    <w:rsid w:val="00F06625"/>
    <w:rsid w:val="00F07B41"/>
    <w:rsid w:val="00F10461"/>
    <w:rsid w:val="00F10E78"/>
    <w:rsid w:val="00F10E87"/>
    <w:rsid w:val="00F12958"/>
    <w:rsid w:val="00F131DA"/>
    <w:rsid w:val="00F13FA9"/>
    <w:rsid w:val="00F1405D"/>
    <w:rsid w:val="00F143C7"/>
    <w:rsid w:val="00F21CD9"/>
    <w:rsid w:val="00F25C9A"/>
    <w:rsid w:val="00F308FF"/>
    <w:rsid w:val="00F326AE"/>
    <w:rsid w:val="00F355C2"/>
    <w:rsid w:val="00F361E9"/>
    <w:rsid w:val="00F36D38"/>
    <w:rsid w:val="00F37F20"/>
    <w:rsid w:val="00F40235"/>
    <w:rsid w:val="00F41D88"/>
    <w:rsid w:val="00F43401"/>
    <w:rsid w:val="00F43553"/>
    <w:rsid w:val="00F4386A"/>
    <w:rsid w:val="00F443AA"/>
    <w:rsid w:val="00F44637"/>
    <w:rsid w:val="00F4480D"/>
    <w:rsid w:val="00F457A9"/>
    <w:rsid w:val="00F50448"/>
    <w:rsid w:val="00F52488"/>
    <w:rsid w:val="00F52E27"/>
    <w:rsid w:val="00F544D9"/>
    <w:rsid w:val="00F55F78"/>
    <w:rsid w:val="00F562F5"/>
    <w:rsid w:val="00F6084F"/>
    <w:rsid w:val="00F60C57"/>
    <w:rsid w:val="00F64807"/>
    <w:rsid w:val="00F64D3C"/>
    <w:rsid w:val="00F6568B"/>
    <w:rsid w:val="00F70CEF"/>
    <w:rsid w:val="00F71074"/>
    <w:rsid w:val="00F74672"/>
    <w:rsid w:val="00F814D5"/>
    <w:rsid w:val="00F8513C"/>
    <w:rsid w:val="00F87643"/>
    <w:rsid w:val="00F911CE"/>
    <w:rsid w:val="00F9165A"/>
    <w:rsid w:val="00F92CB6"/>
    <w:rsid w:val="00F942C8"/>
    <w:rsid w:val="00FA0A05"/>
    <w:rsid w:val="00FA1BE2"/>
    <w:rsid w:val="00FA3204"/>
    <w:rsid w:val="00FA3976"/>
    <w:rsid w:val="00FA3ABA"/>
    <w:rsid w:val="00FA62EF"/>
    <w:rsid w:val="00FB2878"/>
    <w:rsid w:val="00FB72F6"/>
    <w:rsid w:val="00FB75ED"/>
    <w:rsid w:val="00FC02FF"/>
    <w:rsid w:val="00FC0AFE"/>
    <w:rsid w:val="00FC349F"/>
    <w:rsid w:val="00FC714C"/>
    <w:rsid w:val="00FD0379"/>
    <w:rsid w:val="00FD1463"/>
    <w:rsid w:val="00FD275D"/>
    <w:rsid w:val="00FD6A91"/>
    <w:rsid w:val="00FE02A9"/>
    <w:rsid w:val="00FE06D2"/>
    <w:rsid w:val="00FE12D4"/>
    <w:rsid w:val="00FE28A3"/>
    <w:rsid w:val="00FE2A44"/>
    <w:rsid w:val="00FE44BF"/>
    <w:rsid w:val="00FE662D"/>
    <w:rsid w:val="00FE6EA7"/>
    <w:rsid w:val="00FF02DE"/>
    <w:rsid w:val="00FF063A"/>
    <w:rsid w:val="00FF0E4A"/>
    <w:rsid w:val="00FF1FA1"/>
    <w:rsid w:val="00FF237B"/>
    <w:rsid w:val="00FF6095"/>
    <w:rsid w:val="00FF6B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uiPriority w:val="99"/>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8273F3"/>
    <w:pPr>
      <w:numPr>
        <w:numId w:val="32"/>
      </w:numPr>
      <w:spacing w:before="120" w:line="276" w:lineRule="auto"/>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pPr>
  </w:style>
  <w:style w:type="character" w:customStyle="1" w:styleId="SubStandardChar">
    <w:name w:val="*SubStandard Char"/>
    <w:basedOn w:val="TableTextChar"/>
    <w:link w:val="SubStandard"/>
    <w:rsid w:val="00CF498D"/>
    <w:rPr>
      <w:sz w:val="22"/>
      <w:szCs w:val="22"/>
    </w:rPr>
  </w:style>
  <w:style w:type="character" w:styleId="Emphasis">
    <w:name w:val="Emphasis"/>
    <w:basedOn w:val="DefaultParagraphFont"/>
    <w:uiPriority w:val="20"/>
    <w:rsid w:val="00E809B6"/>
    <w:rPr>
      <w:i/>
    </w:rPr>
  </w:style>
  <w:style w:type="paragraph" w:styleId="Revision">
    <w:name w:val="Revision"/>
    <w:hidden/>
    <w:uiPriority w:val="71"/>
    <w:rsid w:val="002F155B"/>
    <w:rPr>
      <w:sz w:val="22"/>
      <w:szCs w:val="22"/>
    </w:rPr>
  </w:style>
  <w:style w:type="character" w:customStyle="1" w:styleId="hwc">
    <w:name w:val="hwc"/>
    <w:basedOn w:val="DefaultParagraphFont"/>
    <w:rsid w:val="00537FBE"/>
  </w:style>
</w:styles>
</file>

<file path=word/webSettings.xml><?xml version="1.0" encoding="utf-8"?>
<w:webSettings xmlns:r="http://schemas.openxmlformats.org/officeDocument/2006/relationships" xmlns:w="http://schemas.openxmlformats.org/wordprocessingml/2006/main">
  <w:divs>
    <w:div w:id="29230731">
      <w:bodyDiv w:val="1"/>
      <w:marLeft w:val="0"/>
      <w:marRight w:val="0"/>
      <w:marTop w:val="0"/>
      <w:marBottom w:val="0"/>
      <w:divBdr>
        <w:top w:val="none" w:sz="0" w:space="0" w:color="auto"/>
        <w:left w:val="none" w:sz="0" w:space="0" w:color="auto"/>
        <w:bottom w:val="none" w:sz="0" w:space="0" w:color="auto"/>
        <w:right w:val="none" w:sz="0" w:space="0" w:color="auto"/>
      </w:divBdr>
    </w:div>
    <w:div w:id="217865523">
      <w:bodyDiv w:val="1"/>
      <w:marLeft w:val="0"/>
      <w:marRight w:val="0"/>
      <w:marTop w:val="0"/>
      <w:marBottom w:val="0"/>
      <w:divBdr>
        <w:top w:val="none" w:sz="0" w:space="0" w:color="auto"/>
        <w:left w:val="none" w:sz="0" w:space="0" w:color="auto"/>
        <w:bottom w:val="none" w:sz="0" w:space="0" w:color="auto"/>
        <w:right w:val="none" w:sz="0" w:space="0" w:color="auto"/>
      </w:divBdr>
    </w:div>
    <w:div w:id="244920892">
      <w:bodyDiv w:val="1"/>
      <w:marLeft w:val="0"/>
      <w:marRight w:val="0"/>
      <w:marTop w:val="0"/>
      <w:marBottom w:val="0"/>
      <w:divBdr>
        <w:top w:val="none" w:sz="0" w:space="0" w:color="auto"/>
        <w:left w:val="none" w:sz="0" w:space="0" w:color="auto"/>
        <w:bottom w:val="none" w:sz="0" w:space="0" w:color="auto"/>
        <w:right w:val="none" w:sz="0" w:space="0" w:color="auto"/>
      </w:divBdr>
    </w:div>
    <w:div w:id="401683866">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06763283">
      <w:bodyDiv w:val="1"/>
      <w:marLeft w:val="0"/>
      <w:marRight w:val="0"/>
      <w:marTop w:val="0"/>
      <w:marBottom w:val="0"/>
      <w:divBdr>
        <w:top w:val="none" w:sz="0" w:space="0" w:color="auto"/>
        <w:left w:val="none" w:sz="0" w:space="0" w:color="auto"/>
        <w:bottom w:val="none" w:sz="0" w:space="0" w:color="auto"/>
        <w:right w:val="none" w:sz="0" w:space="0" w:color="auto"/>
      </w:divBdr>
    </w:div>
    <w:div w:id="744186679">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32842767">
      <w:bodyDiv w:val="1"/>
      <w:marLeft w:val="0"/>
      <w:marRight w:val="0"/>
      <w:marTop w:val="0"/>
      <w:marBottom w:val="0"/>
      <w:divBdr>
        <w:top w:val="none" w:sz="0" w:space="0" w:color="auto"/>
        <w:left w:val="none" w:sz="0" w:space="0" w:color="auto"/>
        <w:bottom w:val="none" w:sz="0" w:space="0" w:color="auto"/>
        <w:right w:val="none" w:sz="0" w:space="0" w:color="auto"/>
      </w:divBdr>
    </w:div>
    <w:div w:id="1645040077">
      <w:bodyDiv w:val="1"/>
      <w:marLeft w:val="0"/>
      <w:marRight w:val="0"/>
      <w:marTop w:val="0"/>
      <w:marBottom w:val="0"/>
      <w:divBdr>
        <w:top w:val="none" w:sz="0" w:space="0" w:color="auto"/>
        <w:left w:val="none" w:sz="0" w:space="0" w:color="auto"/>
        <w:bottom w:val="none" w:sz="0" w:space="0" w:color="auto"/>
        <w:right w:val="none" w:sz="0" w:space="0" w:color="auto"/>
      </w:divBdr>
    </w:div>
    <w:div w:id="1888299938">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1355360">
      <w:bodyDiv w:val="1"/>
      <w:marLeft w:val="0"/>
      <w:marRight w:val="0"/>
      <w:marTop w:val="0"/>
      <w:marBottom w:val="0"/>
      <w:divBdr>
        <w:top w:val="none" w:sz="0" w:space="0" w:color="auto"/>
        <w:left w:val="none" w:sz="0" w:space="0" w:color="auto"/>
        <w:bottom w:val="none" w:sz="0" w:space="0" w:color="auto"/>
        <w:right w:val="none" w:sz="0" w:space="0" w:color="auto"/>
      </w:divBdr>
    </w:div>
    <w:div w:id="1960987408">
      <w:bodyDiv w:val="1"/>
      <w:marLeft w:val="0"/>
      <w:marRight w:val="0"/>
      <w:marTop w:val="0"/>
      <w:marBottom w:val="0"/>
      <w:divBdr>
        <w:top w:val="none" w:sz="0" w:space="0" w:color="auto"/>
        <w:left w:val="none" w:sz="0" w:space="0" w:color="auto"/>
        <w:bottom w:val="none" w:sz="0" w:space="0" w:color="auto"/>
        <w:right w:val="none" w:sz="0" w:space="0" w:color="auto"/>
      </w:divBdr>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35187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tv.un.org/watch/malala-yousafzai-addresses-united-nations-youth-assembly/254209425100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ebtv.un.org/watch/malala-yousafzai-addresses-united-nations-youth-assembly/2542094251001/" TargetMode="External"/><Relationship Id="rId4" Type="http://schemas.openxmlformats.org/officeDocument/2006/relationships/styles" Target="styles.xml"/><Relationship Id="rId9" Type="http://schemas.openxmlformats.org/officeDocument/2006/relationships/hyperlink" Target="http://secure.aworldatschool.org" TargetMode="Externa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5C2B4-16B1-4600-8237-487428B76828}">
  <ds:schemaRefs>
    <ds:schemaRef ds:uri="http://schemas.openxmlformats.org/officeDocument/2006/bibliography"/>
  </ds:schemaRefs>
</ds:datastoreItem>
</file>

<file path=customXml/itemProps2.xml><?xml version="1.0" encoding="utf-8"?>
<ds:datastoreItem xmlns:ds="http://schemas.openxmlformats.org/officeDocument/2006/customXml" ds:itemID="{54ECBCC4-96FE-4B73-BE51-AC1DF81A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3878</Words>
  <Characters>22106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25933</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2014-04-10T00:11:00Z</cp:lastPrinted>
  <dcterms:created xsi:type="dcterms:W3CDTF">2014-04-17T23:28:00Z</dcterms:created>
  <dcterms:modified xsi:type="dcterms:W3CDTF">2014-04-17T23:28:00Z</dcterms:modified>
</cp:coreProperties>
</file>