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2C1375" w:rsidP="00B231AA">
            <w:pPr>
              <w:pStyle w:val="Header-banner"/>
              <w:rPr>
                <w:rFonts w:asciiTheme="minorHAnsi" w:hAnsiTheme="minorHAnsi"/>
              </w:rPr>
            </w:pPr>
            <w:r>
              <w:rPr>
                <w:rFonts w:asciiTheme="minorHAnsi" w:hAnsiTheme="minorHAnsi"/>
              </w:rPr>
              <w:t>10.2.</w:t>
            </w:r>
            <w:r w:rsidR="001803E1">
              <w:rPr>
                <w:rFonts w:asciiTheme="minorHAnsi" w:hAnsiTheme="minorHAnsi"/>
              </w:rPr>
              <w:t>3</w:t>
            </w:r>
          </w:p>
        </w:tc>
        <w:tc>
          <w:tcPr>
            <w:tcW w:w="7470" w:type="dxa"/>
            <w:shd w:val="clear" w:color="auto" w:fill="76923C"/>
            <w:vAlign w:val="center"/>
          </w:tcPr>
          <w:p w:rsidR="00F814D5" w:rsidRPr="00DB34C3" w:rsidRDefault="00F814D5" w:rsidP="001803E1">
            <w:pPr>
              <w:pStyle w:val="Header2banner"/>
              <w:spacing w:line="240" w:lineRule="auto"/>
              <w:rPr>
                <w:rFonts w:asciiTheme="minorHAnsi" w:hAnsiTheme="minorHAnsi"/>
              </w:rPr>
            </w:pPr>
            <w:r w:rsidRPr="00DB34C3">
              <w:rPr>
                <w:rFonts w:asciiTheme="minorHAnsi" w:hAnsiTheme="minorHAnsi"/>
              </w:rPr>
              <w:t xml:space="preserve">Lesson </w:t>
            </w:r>
            <w:r w:rsidR="00D60E0B">
              <w:rPr>
                <w:rFonts w:asciiTheme="minorHAnsi" w:hAnsiTheme="minorHAnsi"/>
              </w:rPr>
              <w:t>1</w:t>
            </w:r>
          </w:p>
        </w:tc>
      </w:tr>
    </w:tbl>
    <w:p w:rsidR="0077129E" w:rsidRDefault="0077129E" w:rsidP="0077129E">
      <w:pPr>
        <w:pStyle w:val="Heading1"/>
      </w:pPr>
      <w:r w:rsidRPr="00263AF5">
        <w:t>Introduction</w:t>
      </w:r>
    </w:p>
    <w:p w:rsidR="007536B9" w:rsidRDefault="0077129E" w:rsidP="00FB3F68">
      <w:r>
        <w:t>In this lesson, student</w:t>
      </w:r>
      <w:r w:rsidR="00687632">
        <w:t xml:space="preserve">s read and analyze the Preamble and Articles 1–10 of </w:t>
      </w:r>
      <w:r w:rsidR="00583354">
        <w:rPr>
          <w:i/>
        </w:rPr>
        <w:t>The Universal</w:t>
      </w:r>
      <w:r w:rsidR="00687632" w:rsidRPr="00D45A65">
        <w:rPr>
          <w:i/>
        </w:rPr>
        <w:t xml:space="preserve"> Declaration o</w:t>
      </w:r>
      <w:r w:rsidR="00127B3F">
        <w:rPr>
          <w:i/>
        </w:rPr>
        <w:t>f</w:t>
      </w:r>
      <w:r w:rsidR="00687632" w:rsidRPr="00D45A65">
        <w:rPr>
          <w:i/>
        </w:rPr>
        <w:t xml:space="preserve"> Human Rights</w:t>
      </w:r>
      <w:r w:rsidR="00687632">
        <w:t xml:space="preserve"> </w:t>
      </w:r>
      <w:r w:rsidR="00265FA0">
        <w:t>(from “</w:t>
      </w:r>
      <w:r w:rsidR="007536B9" w:rsidRPr="007536B9">
        <w:t>Whereas recognition of the inherent dignity and of the equal and inalienable</w:t>
      </w:r>
      <w:r w:rsidR="00265FA0">
        <w:t>” to “</w:t>
      </w:r>
      <w:r w:rsidR="007536B9" w:rsidRPr="007536B9">
        <w:t>rights and obligations and of any criminal charge against him</w:t>
      </w:r>
      <w:r w:rsidR="007536B9">
        <w:t xml:space="preserve">”), which includes the </w:t>
      </w:r>
      <w:r w:rsidR="008E37E8">
        <w:t xml:space="preserve">document’s </w:t>
      </w:r>
      <w:r w:rsidR="007536B9">
        <w:t>purpose and a list of basic human rights. Students explore the ideas</w:t>
      </w:r>
      <w:r w:rsidR="003E237C">
        <w:t xml:space="preserve"> and claims</w:t>
      </w:r>
      <w:r w:rsidR="007536B9">
        <w:t xml:space="preserve"> introduced in the Preamble and then analyze how those ideas</w:t>
      </w:r>
      <w:r w:rsidR="003E237C">
        <w:t xml:space="preserve"> and claims</w:t>
      </w:r>
      <w:r w:rsidR="007536B9">
        <w:t xml:space="preserve"> are </w:t>
      </w:r>
      <w:r w:rsidR="00DB6858">
        <w:t xml:space="preserve">developed and </w:t>
      </w:r>
      <w:r w:rsidR="007536B9">
        <w:t>refined in Articles 1–10.</w:t>
      </w:r>
    </w:p>
    <w:p w:rsidR="00FB3F68" w:rsidRPr="00FB3F68" w:rsidRDefault="007536B9" w:rsidP="00FB3F68">
      <w:pPr>
        <w:rPr>
          <w:rFonts w:cs="Calibri"/>
          <w:color w:val="000000"/>
        </w:rPr>
      </w:pPr>
      <w:r>
        <w:t xml:space="preserve">Student learning </w:t>
      </w:r>
      <w:r w:rsidR="00481B54">
        <w:t xml:space="preserve">is </w:t>
      </w:r>
      <w:r w:rsidR="00C16107">
        <w:t>captured</w:t>
      </w:r>
      <w:r w:rsidR="00481B54">
        <w:t xml:space="preserve"> via </w:t>
      </w:r>
      <w:r>
        <w:t xml:space="preserve">a Quick Write </w:t>
      </w:r>
      <w:r w:rsidR="00E37B88">
        <w:t xml:space="preserve">on the following prompt: </w:t>
      </w:r>
      <w:r w:rsidR="00E37B88" w:rsidRPr="0028580E">
        <w:t>How do the Articles develop and refine the ideas expressed in the Preamble?</w:t>
      </w:r>
      <w:r>
        <w:t xml:space="preserve"> For homework, students </w:t>
      </w:r>
      <w:r w:rsidR="00862A94">
        <w:t xml:space="preserve">complete an Argument Delineation Tool for </w:t>
      </w:r>
      <w:r w:rsidR="00583354">
        <w:rPr>
          <w:i/>
        </w:rPr>
        <w:t>The Universal</w:t>
      </w:r>
      <w:r w:rsidR="00862A94">
        <w:rPr>
          <w:i/>
        </w:rPr>
        <w:t xml:space="preserve"> Declaration of Human Rights. </w:t>
      </w:r>
      <w:r w:rsidR="00862A94">
        <w:t xml:space="preserve">Students also </w:t>
      </w:r>
      <w:r w:rsidR="003E2F69">
        <w:t xml:space="preserve">conduct </w:t>
      </w:r>
      <w:r w:rsidR="00A415C6">
        <w:t xml:space="preserve">a brief Internet search and write about </w:t>
      </w:r>
      <w:r w:rsidR="003E2F69">
        <w:t xml:space="preserve">Eleanor Roosevelt and her connection </w:t>
      </w:r>
      <w:r w:rsidR="009759E8">
        <w:t xml:space="preserve">to </w:t>
      </w:r>
      <w:r w:rsidR="00583354">
        <w:rPr>
          <w:i/>
        </w:rPr>
        <w:t>The Universal</w:t>
      </w:r>
      <w:r w:rsidR="003E2F69" w:rsidRPr="003E2F69">
        <w:rPr>
          <w:i/>
        </w:rPr>
        <w:t xml:space="preserve"> Declaration o</w:t>
      </w:r>
      <w:r w:rsidR="00B404B4">
        <w:rPr>
          <w:i/>
        </w:rPr>
        <w:t>f</w:t>
      </w:r>
      <w:r w:rsidR="003E2F69" w:rsidRPr="003E2F69">
        <w:rPr>
          <w:i/>
        </w:rPr>
        <w:t xml:space="preserve"> Human Rights</w:t>
      </w:r>
      <w:r w:rsidR="003E2F69">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BB62F7" w:rsidRPr="0053542D">
        <w:tc>
          <w:tcPr>
            <w:tcW w:w="1344" w:type="dxa"/>
          </w:tcPr>
          <w:p w:rsidR="00BB62F7" w:rsidRDefault="007536B9" w:rsidP="000B2D56">
            <w:pPr>
              <w:pStyle w:val="TableText"/>
            </w:pPr>
            <w:r>
              <w:t>R</w:t>
            </w:r>
            <w:r w:rsidR="00990604">
              <w:t>I.9-10.5</w:t>
            </w:r>
          </w:p>
        </w:tc>
        <w:tc>
          <w:tcPr>
            <w:tcW w:w="8124" w:type="dxa"/>
          </w:tcPr>
          <w:p w:rsidR="00BB62F7" w:rsidRDefault="00990604" w:rsidP="00990604">
            <w:pPr>
              <w:pStyle w:val="TableText"/>
            </w:pPr>
            <w:r w:rsidRPr="00990604">
              <w:t>Analyze in detail how an author’s ideas or claims are developed and refined by particular sentences, paragraphs, or larger portions of a text (e.g., a section or chapter).</w:t>
            </w:r>
          </w:p>
        </w:tc>
      </w:tr>
      <w:tr w:rsidR="00F308FF" w:rsidRPr="00CF2582">
        <w:tc>
          <w:tcPr>
            <w:tcW w:w="9468"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D020C1" w:rsidRPr="0053542D">
        <w:tc>
          <w:tcPr>
            <w:tcW w:w="1344" w:type="dxa"/>
          </w:tcPr>
          <w:p w:rsidR="00D020C1" w:rsidRDefault="00D020C1" w:rsidP="000B2D56">
            <w:pPr>
              <w:pStyle w:val="TableText"/>
            </w:pPr>
            <w:r>
              <w:t>SL.9-10.1.a-e</w:t>
            </w:r>
          </w:p>
        </w:tc>
        <w:tc>
          <w:tcPr>
            <w:tcW w:w="8124" w:type="dxa"/>
          </w:tcPr>
          <w:p w:rsidR="001546B1" w:rsidRDefault="001546B1" w:rsidP="001546B1">
            <w:pPr>
              <w:pStyle w:val="TableText"/>
            </w:pPr>
            <w:r>
              <w:t xml:space="preserve">Initiate and participate effectively in a range of collaborative discussions (one-on-one, in groups, and teacher-led) with diverse partners </w:t>
            </w:r>
            <w:r w:rsidRPr="0051016A">
              <w:rPr>
                <w:i/>
              </w:rPr>
              <w:t>on grades 9–10 topics, texts, and issues</w:t>
            </w:r>
            <w:r>
              <w:t>, building on others’ ideas and expressing their own clearly and persuasively.</w:t>
            </w:r>
          </w:p>
          <w:p w:rsidR="001546B1" w:rsidRDefault="001546B1" w:rsidP="00A70328">
            <w:pPr>
              <w:pStyle w:val="SubStandard"/>
            </w:pPr>
            <w:r>
              <w:t>Come to discussions prepared, having read and researched material under study; explicitly draw on that preparation by referring to evidence from texts and other research on the topic or issue to stimulate a thoughtful, well-reasoned exchange of ideas.</w:t>
            </w:r>
          </w:p>
          <w:p w:rsidR="001546B1" w:rsidRDefault="001546B1" w:rsidP="00A70328">
            <w:pPr>
              <w:pStyle w:val="SubStandard"/>
            </w:pPr>
            <w:r>
              <w:t>Work with peers to set rules for collegial discussions and decision-making (e.g., informal consensus, taking votes on key issues, presentation of alternate views), clear goals and deadlines, and individual roles as needed.</w:t>
            </w:r>
          </w:p>
          <w:p w:rsidR="001546B1" w:rsidRDefault="001546B1" w:rsidP="00A70328">
            <w:pPr>
              <w:pStyle w:val="SubStandard"/>
            </w:pPr>
            <w:r>
              <w:t>Propel conversations by posing and responding to questions that relate the current discussion to broader themes or larger ideas; actively incorporate others into the discussion; and clarify, verify, or challenge ideas and conclusions.</w:t>
            </w:r>
          </w:p>
          <w:p w:rsidR="001546B1" w:rsidRDefault="001546B1" w:rsidP="00A70328">
            <w:pPr>
              <w:pStyle w:val="SubStandard"/>
            </w:pPr>
            <w:r>
              <w:lastRenderedPageBreak/>
              <w:t>Respond thoughtfully to diverse perspectives, summarize points of agreement and disagreement, and, when warranted, qualify or justify their own views and understanding and make new connections in light of the evidence and reasoning presented.</w:t>
            </w:r>
          </w:p>
          <w:p w:rsidR="00D020C1" w:rsidRPr="00832361" w:rsidRDefault="001546B1" w:rsidP="00A70328">
            <w:pPr>
              <w:pStyle w:val="SubStandard"/>
              <w:rPr>
                <w:rFonts w:asciiTheme="minorHAnsi" w:hAnsiTheme="minorHAnsi"/>
                <w:b/>
                <w:bCs/>
                <w:color w:val="365F91"/>
              </w:rPr>
            </w:pPr>
            <w:r>
              <w:t>Seek to understand other perspectives and cultures and communicate effectively with audiences or individuals from varied backgrounds.</w:t>
            </w:r>
          </w:p>
        </w:tc>
      </w:tr>
      <w:tr w:rsidR="00BF79DE" w:rsidRPr="0053542D">
        <w:tc>
          <w:tcPr>
            <w:tcW w:w="1344" w:type="dxa"/>
          </w:tcPr>
          <w:p w:rsidR="00BF79DE" w:rsidRDefault="00BF79DE" w:rsidP="000B2D56">
            <w:pPr>
              <w:pStyle w:val="TableText"/>
            </w:pPr>
            <w:r>
              <w:lastRenderedPageBreak/>
              <w:t>L.9-10.4.b</w:t>
            </w:r>
          </w:p>
        </w:tc>
        <w:tc>
          <w:tcPr>
            <w:tcW w:w="8124" w:type="dxa"/>
          </w:tcPr>
          <w:p w:rsidR="00BF79DE" w:rsidRDefault="00BF79DE" w:rsidP="001546B1">
            <w:pPr>
              <w:pStyle w:val="TableText"/>
            </w:pPr>
            <w:r w:rsidRPr="00BF79DE">
              <w:t xml:space="preserve">Determine or clarify the meaning of unknown and multiple-meaning words and phrases based on </w:t>
            </w:r>
            <w:r w:rsidR="007A47B4" w:rsidRPr="007A47B4">
              <w:rPr>
                <w:i/>
              </w:rPr>
              <w:t>grades 9–10 reading and content</w:t>
            </w:r>
            <w:r w:rsidRPr="00BF79DE">
              <w:t>, choosing flexibly from a range of strategies.</w:t>
            </w:r>
          </w:p>
          <w:p w:rsidR="008C77C7" w:rsidRDefault="00BF79DE" w:rsidP="00916F7F">
            <w:pPr>
              <w:pStyle w:val="SubStandard"/>
              <w:numPr>
                <w:ilvl w:val="0"/>
                <w:numId w:val="10"/>
              </w:numPr>
            </w:pPr>
            <w:r w:rsidRPr="00BF79DE">
              <w:t xml:space="preserve">Identify and correctly use patterns of word changes that indicate different meanings or parts of speech (e.g., </w:t>
            </w:r>
            <w:r w:rsidR="007A47B4" w:rsidRPr="005B6F82">
              <w:rPr>
                <w:i/>
              </w:rPr>
              <w:t>analyze, analysis, analytical; advocate, advocacy</w:t>
            </w:r>
            <w:r w:rsidRPr="00BF79DE">
              <w:t>).</w:t>
            </w:r>
          </w:p>
        </w:tc>
      </w:tr>
    </w:tbl>
    <w:p w:rsidR="00C4787C" w:rsidRDefault="006D5695"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w:t>
            </w:r>
            <w:r w:rsidR="002F4F5E">
              <w:t>respond to</w:t>
            </w:r>
            <w:r w:rsidR="002F4F5E" w:rsidRPr="006D5695">
              <w:t xml:space="preserve"> </w:t>
            </w:r>
            <w:r w:rsidRPr="006D5695">
              <w:t>the following prompt, citing textual evidence to support analysis and inferences drawn from the text</w:t>
            </w:r>
            <w:r>
              <w:t>.</w:t>
            </w:r>
          </w:p>
          <w:p w:rsidR="00C909B3" w:rsidRDefault="006265E3" w:rsidP="00064850">
            <w:pPr>
              <w:pStyle w:val="BulletedList"/>
            </w:pPr>
            <w:r>
              <w:t>How do</w:t>
            </w:r>
            <w:r w:rsidR="00C909B3" w:rsidRPr="00C909B3">
              <w:t xml:space="preserve"> </w:t>
            </w:r>
            <w:r>
              <w:t xml:space="preserve">the </w:t>
            </w:r>
            <w:r w:rsidR="00C909B3" w:rsidRPr="00C909B3">
              <w:t>Articles develop and ref</w:t>
            </w:r>
            <w:r w:rsidR="00A63A13">
              <w:t>ine the ideas expressed in the P</w:t>
            </w:r>
            <w:r w:rsidR="00C909B3" w:rsidRPr="00C909B3">
              <w:t>reamble?</w:t>
            </w:r>
          </w:p>
          <w:p w:rsidR="00B231AA" w:rsidRPr="003908D2" w:rsidRDefault="00524F63" w:rsidP="00524F63">
            <w:pPr>
              <w:pStyle w:val="IN"/>
            </w:pPr>
            <w:r>
              <w:t xml:space="preserve">Throughout this unit, Quick Writes will be evaluated using the </w:t>
            </w:r>
            <w:r w:rsidR="006B174F">
              <w:t>Short Response Rubric.</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7D28FD" w:rsidRPr="007D28FD" w:rsidRDefault="007A6CCC" w:rsidP="006265E3">
            <w:pPr>
              <w:pStyle w:val="BulletedList"/>
              <w:rPr>
                <w:rFonts w:asciiTheme="minorHAnsi" w:hAnsiTheme="minorHAnsi"/>
              </w:rPr>
            </w:pPr>
            <w:r w:rsidRPr="007A6CCC">
              <w:rPr>
                <w:rFonts w:asciiTheme="minorHAnsi" w:hAnsiTheme="minorHAnsi" w:cs="Arial"/>
              </w:rPr>
              <w:t>Identify one or more ideas introduced in the Preamble (e.g., </w:t>
            </w:r>
            <w:r w:rsidR="0051016A">
              <w:rPr>
                <w:rFonts w:asciiTheme="minorHAnsi" w:hAnsiTheme="minorHAnsi" w:cs="Arial"/>
              </w:rPr>
              <w:t>p</w:t>
            </w:r>
            <w:r w:rsidRPr="007A6CCC">
              <w:rPr>
                <w:rFonts w:asciiTheme="minorHAnsi" w:hAnsiTheme="minorHAnsi" w:cs="Arial"/>
              </w:rPr>
              <w:t>eople have “inherent dignity” (par. 1)</w:t>
            </w:r>
            <w:r w:rsidR="00F13F13">
              <w:rPr>
                <w:rFonts w:asciiTheme="minorHAnsi" w:hAnsiTheme="minorHAnsi" w:cs="Arial"/>
              </w:rPr>
              <w:t>;</w:t>
            </w:r>
            <w:r w:rsidRPr="007A6CCC">
              <w:rPr>
                <w:rFonts w:asciiTheme="minorHAnsi" w:hAnsiTheme="minorHAnsi" w:cs="Arial"/>
              </w:rPr>
              <w:t xml:space="preserve"> </w:t>
            </w:r>
            <w:r w:rsidR="0051016A">
              <w:rPr>
                <w:rFonts w:asciiTheme="minorHAnsi" w:hAnsiTheme="minorHAnsi" w:cs="Arial"/>
              </w:rPr>
              <w:t>p</w:t>
            </w:r>
            <w:r w:rsidRPr="007A6CCC">
              <w:rPr>
                <w:rFonts w:asciiTheme="minorHAnsi" w:hAnsiTheme="minorHAnsi" w:cs="Arial"/>
              </w:rPr>
              <w:t>eople have “inalienable rights,” which means people have rights that should not and cannot be taken away (par. 1)</w:t>
            </w:r>
            <w:r w:rsidR="00F13F13">
              <w:rPr>
                <w:rFonts w:asciiTheme="minorHAnsi" w:hAnsiTheme="minorHAnsi" w:cs="Arial"/>
              </w:rPr>
              <w:t>;</w:t>
            </w:r>
            <w:r w:rsidRPr="007A6CCC">
              <w:rPr>
                <w:rFonts w:asciiTheme="minorHAnsi" w:hAnsiTheme="minorHAnsi" w:cs="Arial"/>
              </w:rPr>
              <w:t xml:space="preserve"> </w:t>
            </w:r>
            <w:r w:rsidR="0051016A">
              <w:rPr>
                <w:rFonts w:asciiTheme="minorHAnsi" w:hAnsiTheme="minorHAnsi" w:cs="Arial"/>
              </w:rPr>
              <w:t>r</w:t>
            </w:r>
            <w:r w:rsidRPr="007A6CCC">
              <w:rPr>
                <w:rFonts w:asciiTheme="minorHAnsi" w:hAnsiTheme="minorHAnsi" w:cs="Arial"/>
              </w:rPr>
              <w:t>ecognizing</w:t>
            </w:r>
            <w:r w:rsidR="00481B54" w:rsidRPr="007A6CCC">
              <w:rPr>
                <w:rFonts w:asciiTheme="minorHAnsi" w:hAnsiTheme="minorHAnsi" w:cs="Arial"/>
              </w:rPr>
              <w:t xml:space="preserve"> </w:t>
            </w:r>
            <w:r w:rsidRPr="007A6CCC">
              <w:rPr>
                <w:rFonts w:asciiTheme="minorHAnsi" w:hAnsiTheme="minorHAnsi" w:cs="Arial"/>
              </w:rPr>
              <w:t>people’s rights and dignity is the “foundation of freedom, justice and peace in the world” (par. 1))</w:t>
            </w:r>
            <w:r w:rsidR="00F13F13">
              <w:rPr>
                <w:rFonts w:asciiTheme="minorHAnsi" w:hAnsiTheme="minorHAnsi" w:cs="Arial"/>
              </w:rPr>
              <w:t>.</w:t>
            </w:r>
            <w:r w:rsidRPr="007A6CCC">
              <w:rPr>
                <w:rFonts w:asciiTheme="minorHAnsi" w:hAnsiTheme="minorHAnsi"/>
              </w:rPr>
              <w:t xml:space="preserve"> </w:t>
            </w:r>
          </w:p>
          <w:p w:rsidR="00D920A6" w:rsidRPr="00073A75" w:rsidRDefault="007A6CCC" w:rsidP="00481B54">
            <w:pPr>
              <w:pStyle w:val="BulletedList"/>
              <w:rPr>
                <w:rFonts w:asciiTheme="minorHAnsi" w:hAnsiTheme="minorHAnsi"/>
              </w:rPr>
            </w:pPr>
            <w:r w:rsidRPr="007A6CCC">
              <w:rPr>
                <w:rFonts w:asciiTheme="minorHAnsi" w:hAnsiTheme="minorHAnsi" w:cs="Arial"/>
              </w:rPr>
              <w:t xml:space="preserve">Demonstrate an analysis of how the Articles develop and refine one or more idea from the Preamble (e.g., Article 2 further develops the idea that people have “inalienable rights” by confirming that people cannot lose their rights because of their “race, </w:t>
            </w:r>
            <w:proofErr w:type="spellStart"/>
            <w:r w:rsidRPr="007A6CCC">
              <w:rPr>
                <w:rFonts w:asciiTheme="minorHAnsi" w:hAnsiTheme="minorHAnsi" w:cs="Arial"/>
              </w:rPr>
              <w:t>colour</w:t>
            </w:r>
            <w:proofErr w:type="spellEnd"/>
            <w:r w:rsidRPr="007A6CCC">
              <w:rPr>
                <w:rFonts w:asciiTheme="minorHAnsi" w:hAnsiTheme="minorHAnsi" w:cs="Arial"/>
              </w:rPr>
              <w:t xml:space="preserve">, sex, language, religion, political or other opinion, national or social origin, property, birth or other status” or because of the “political, jurisdictional or international status of the country or territory” in which they live. The Preamble introduces the idea the human rights are inalienable, and Article 2 </w:t>
            </w:r>
            <w:r w:rsidR="00F13F13">
              <w:rPr>
                <w:rFonts w:asciiTheme="minorHAnsi" w:hAnsiTheme="minorHAnsi" w:cs="Arial"/>
              </w:rPr>
              <w:t>lists the human characteristics</w:t>
            </w:r>
            <w:r w:rsidRPr="007A6CCC">
              <w:rPr>
                <w:rFonts w:asciiTheme="minorHAnsi" w:hAnsiTheme="minorHAnsi" w:cs="Arial"/>
              </w:rPr>
              <w:t xml:space="preserve">, such as race, </w:t>
            </w:r>
            <w:r w:rsidR="00481B54">
              <w:rPr>
                <w:rFonts w:asciiTheme="minorHAnsi" w:hAnsiTheme="minorHAnsi" w:cs="Arial"/>
              </w:rPr>
              <w:t>which</w:t>
            </w:r>
            <w:r w:rsidR="00481B54" w:rsidRPr="007A6CCC">
              <w:rPr>
                <w:rFonts w:asciiTheme="minorHAnsi" w:hAnsiTheme="minorHAnsi" w:cs="Arial"/>
              </w:rPr>
              <w:t xml:space="preserve"> </w:t>
            </w:r>
            <w:r w:rsidR="00F13F13">
              <w:rPr>
                <w:rFonts w:asciiTheme="minorHAnsi" w:hAnsiTheme="minorHAnsi" w:cs="Arial"/>
              </w:rPr>
              <w:t>cannot be violated</w:t>
            </w:r>
            <w:r w:rsidRPr="007A6CCC">
              <w:rPr>
                <w:rFonts w:asciiTheme="minorHAnsi" w:hAnsiTheme="minorHAnsi" w:cs="Arial"/>
              </w:rPr>
              <w:t>)</w:t>
            </w:r>
            <w:r w:rsidR="00F13F13">
              <w:rPr>
                <w:rFonts w:asciiTheme="minorHAnsi" w:hAnsiTheme="minorHAnsi" w:cs="Arial"/>
              </w:rPr>
              <w:t>.</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DE2A4C" w:rsidRDefault="008E37E8" w:rsidP="00DE2A4C">
            <w:pPr>
              <w:pStyle w:val="BulletedList"/>
            </w:pPr>
            <w:r>
              <w:t>w</w:t>
            </w:r>
            <w:r w:rsidR="00DE2A4C">
              <w:t>hereas</w:t>
            </w:r>
            <w:r w:rsidR="00653199">
              <w:t xml:space="preserve"> (conj.) –</w:t>
            </w:r>
            <w:r w:rsidR="00DE2A4C">
              <w:t xml:space="preserve"> </w:t>
            </w:r>
            <w:r w:rsidR="00DE2A4C" w:rsidRPr="00DE2A4C">
              <w:t>it</w:t>
            </w:r>
            <w:r w:rsidR="00AE3443">
              <w:t xml:space="preserve"> </w:t>
            </w:r>
            <w:r w:rsidR="00DE2A4C" w:rsidRPr="00DE2A4C">
              <w:t>being</w:t>
            </w:r>
            <w:r w:rsidR="00AE3443">
              <w:t xml:space="preserve"> the case that, or </w:t>
            </w:r>
            <w:r w:rsidR="00DE2A4C" w:rsidRPr="00DE2A4C">
              <w:t>considering</w:t>
            </w:r>
            <w:r w:rsidR="00AE3443">
              <w:t xml:space="preserve"> that (used especially </w:t>
            </w:r>
            <w:r w:rsidR="00DE2A4C" w:rsidRPr="00DE2A4C">
              <w:t>in</w:t>
            </w:r>
            <w:r w:rsidR="008F4656">
              <w:t xml:space="preserve"> </w:t>
            </w:r>
            <w:r w:rsidR="00AE3443">
              <w:t xml:space="preserve">formal </w:t>
            </w:r>
            <w:r w:rsidR="00DE2A4C" w:rsidRPr="00F13F13">
              <w:t>preambles</w:t>
            </w:r>
            <w:r w:rsidR="00DE2A4C" w:rsidRPr="00C31AA4">
              <w:t>)</w:t>
            </w:r>
          </w:p>
          <w:p w:rsidR="000B2D56" w:rsidRDefault="00907B70" w:rsidP="009E1E7A">
            <w:pPr>
              <w:pStyle w:val="BulletedList"/>
            </w:pPr>
            <w:r>
              <w:t>i</w:t>
            </w:r>
            <w:r w:rsidR="00A07139">
              <w:t>nherent</w:t>
            </w:r>
            <w:r>
              <w:t xml:space="preserve"> (adj.) – </w:t>
            </w:r>
            <w:r w:rsidRPr="00907B70">
              <w:t>existing in someone or something as a permanent and inseparable element, quality</w:t>
            </w:r>
          </w:p>
          <w:p w:rsidR="00A07139" w:rsidRDefault="00907B70" w:rsidP="009E1E7A">
            <w:pPr>
              <w:pStyle w:val="BulletedList"/>
            </w:pPr>
            <w:r>
              <w:t>c</w:t>
            </w:r>
            <w:r w:rsidR="00A07139">
              <w:t>ontempt</w:t>
            </w:r>
            <w:r>
              <w:t xml:space="preserve"> (n.) – </w:t>
            </w:r>
            <w:r w:rsidRPr="00907B70">
              <w:t>the feeling with which a person regards anything considered mean, vile, or worthless; disdain; scorn</w:t>
            </w:r>
          </w:p>
          <w:p w:rsidR="00A07139" w:rsidRDefault="00CE2379" w:rsidP="009E1E7A">
            <w:pPr>
              <w:pStyle w:val="BulletedList"/>
            </w:pPr>
            <w:r>
              <w:t>a</w:t>
            </w:r>
            <w:r w:rsidR="00A07139">
              <w:t>dvent</w:t>
            </w:r>
            <w:r w:rsidR="00907B70">
              <w:t xml:space="preserve"> (n.) </w:t>
            </w:r>
            <w:r w:rsidR="00AE3443">
              <w:t xml:space="preserve">– </w:t>
            </w:r>
            <w:r w:rsidR="00907B70" w:rsidRPr="00907B70">
              <w:t>an arrival or coming, esp</w:t>
            </w:r>
            <w:r w:rsidR="00907B70">
              <w:t>ecially</w:t>
            </w:r>
            <w:r w:rsidR="00907B70" w:rsidRPr="00907B70">
              <w:t xml:space="preserve"> one which is awaited</w:t>
            </w:r>
          </w:p>
          <w:p w:rsidR="002670F2" w:rsidRDefault="002670F2" w:rsidP="009E1E7A">
            <w:pPr>
              <w:pStyle w:val="BulletedList"/>
            </w:pPr>
            <w:r>
              <w:t xml:space="preserve">want (n.) – </w:t>
            </w:r>
            <w:r w:rsidRPr="002670F2">
              <w:t>the state of being without the necessaries of life; destitution; poverty</w:t>
            </w:r>
          </w:p>
          <w:p w:rsidR="00A07139" w:rsidRDefault="00A07139" w:rsidP="009E1E7A">
            <w:pPr>
              <w:pStyle w:val="BulletedList"/>
            </w:pPr>
            <w:r>
              <w:t>recourse</w:t>
            </w:r>
            <w:r w:rsidR="00907B70">
              <w:t xml:space="preserve"> (n.) – </w:t>
            </w:r>
            <w:r w:rsidR="00907B70" w:rsidRPr="00907B70">
              <w:t>access or resort to a person or thing for help or protection</w:t>
            </w:r>
          </w:p>
          <w:p w:rsidR="00A07139" w:rsidRDefault="00A07139" w:rsidP="009E1E7A">
            <w:pPr>
              <w:pStyle w:val="BulletedList"/>
            </w:pPr>
            <w:r>
              <w:t>jurisdiction</w:t>
            </w:r>
            <w:r w:rsidR="00907B70">
              <w:t xml:space="preserve"> (n.) </w:t>
            </w:r>
            <w:r w:rsidR="00B2142B">
              <w:t xml:space="preserve">– </w:t>
            </w:r>
            <w:r w:rsidR="00907B70" w:rsidRPr="00907B70">
              <w:t>the right, power, or authority to administer justice by hearing and determining controversies</w:t>
            </w:r>
          </w:p>
          <w:p w:rsidR="00A07139" w:rsidRDefault="00907B70" w:rsidP="009E1E7A">
            <w:pPr>
              <w:pStyle w:val="BulletedList"/>
            </w:pPr>
            <w:r>
              <w:t>e</w:t>
            </w:r>
            <w:r w:rsidR="00A07139">
              <w:t>ndowed</w:t>
            </w:r>
            <w:r>
              <w:t xml:space="preserve"> (v.) </w:t>
            </w:r>
            <w:r w:rsidR="00B2142B">
              <w:t xml:space="preserve">– </w:t>
            </w:r>
            <w:r w:rsidRPr="00907B70">
              <w:t>furnish</w:t>
            </w:r>
            <w:r>
              <w:t>ed</w:t>
            </w:r>
            <w:r w:rsidRPr="00907B70">
              <w:t>, as with some talent, faculty, or quality</w:t>
            </w:r>
          </w:p>
          <w:p w:rsidR="00A07139" w:rsidRDefault="00A07139" w:rsidP="009E1E7A">
            <w:pPr>
              <w:pStyle w:val="BulletedList"/>
            </w:pPr>
            <w:r>
              <w:t>sovereignty</w:t>
            </w:r>
            <w:r w:rsidR="00907B70">
              <w:t xml:space="preserve"> (n.) –</w:t>
            </w:r>
            <w:r w:rsidR="003E2F69">
              <w:t xml:space="preserve"> a country’s independent authority and the right to govern itself</w:t>
            </w:r>
            <w:r w:rsidR="003E2F69" w:rsidRPr="00907B70" w:rsidDel="003E2F69">
              <w:t xml:space="preserve"> </w:t>
            </w:r>
          </w:p>
          <w:p w:rsidR="00A07139" w:rsidRDefault="00A07139" w:rsidP="009E1E7A">
            <w:pPr>
              <w:pStyle w:val="BulletedList"/>
            </w:pPr>
            <w:r>
              <w:t>degrading</w:t>
            </w:r>
            <w:r w:rsidR="00907B70">
              <w:t xml:space="preserve"> (adj.) –</w:t>
            </w:r>
            <w:r w:rsidR="00FC3938">
              <w:t xml:space="preserve"> </w:t>
            </w:r>
            <w:r w:rsidR="001D7B01" w:rsidRPr="00907B70">
              <w:t>debas</w:t>
            </w:r>
            <w:r w:rsidR="001D7B01">
              <w:t>in</w:t>
            </w:r>
            <w:r w:rsidR="007D28FD">
              <w:t>g; humiliating</w:t>
            </w:r>
          </w:p>
          <w:p w:rsidR="00A07139" w:rsidRDefault="00193FB9" w:rsidP="009E1E7A">
            <w:pPr>
              <w:pStyle w:val="BulletedList"/>
            </w:pPr>
            <w:r>
              <w:t>t</w:t>
            </w:r>
            <w:r w:rsidR="00A07139">
              <w:t>ribunals</w:t>
            </w:r>
            <w:r>
              <w:t xml:space="preserve"> (n.) – courts of justice</w:t>
            </w:r>
          </w:p>
          <w:p w:rsidR="004846C5" w:rsidRPr="00B231AA" w:rsidRDefault="00A07139" w:rsidP="00FE413B">
            <w:pPr>
              <w:pStyle w:val="BulletedList"/>
            </w:pPr>
            <w:r>
              <w:t>arbitrary</w:t>
            </w:r>
            <w:r w:rsidR="00193FB9">
              <w:t xml:space="preserve"> (adj.) – </w:t>
            </w:r>
            <w:r w:rsidR="00193FB9" w:rsidRPr="00193FB9">
              <w:t>subject to individual will o</w:t>
            </w:r>
            <w:r w:rsidR="00193FB9">
              <w:t>r judgment without restriction</w:t>
            </w:r>
          </w:p>
        </w:tc>
      </w:tr>
      <w:tr w:rsidR="00263AF5" w:rsidRPr="00F308FF">
        <w:tc>
          <w:tcPr>
            <w:tcW w:w="9450" w:type="dxa"/>
            <w:shd w:val="clear" w:color="auto" w:fill="76923C"/>
          </w:tcPr>
          <w:p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tc>
          <w:tcPr>
            <w:tcW w:w="9450" w:type="dxa"/>
          </w:tcPr>
          <w:p w:rsidR="00B231AA" w:rsidRDefault="00CE2379" w:rsidP="000B2D56">
            <w:pPr>
              <w:pStyle w:val="BulletedList"/>
            </w:pPr>
            <w:r>
              <w:t>i</w:t>
            </w:r>
            <w:r w:rsidR="00A07139">
              <w:t>nalienable</w:t>
            </w:r>
            <w:r w:rsidR="00193FB9">
              <w:t xml:space="preserve"> (adj.)</w:t>
            </w:r>
            <w:r w:rsidR="002A3FD8">
              <w:t xml:space="preserve"> –</w:t>
            </w:r>
            <w:r w:rsidR="00193FB9">
              <w:t xml:space="preserve"> </w:t>
            </w:r>
            <w:r w:rsidR="00193FB9" w:rsidRPr="00193FB9">
              <w:t>not transferable to another or capable of being repudiated</w:t>
            </w:r>
          </w:p>
          <w:p w:rsidR="00A07139" w:rsidRPr="00B231AA" w:rsidRDefault="00CE2379" w:rsidP="00A07139">
            <w:pPr>
              <w:pStyle w:val="BulletedList"/>
            </w:pPr>
            <w:r>
              <w:t>b</w:t>
            </w:r>
            <w:r w:rsidR="00A07139">
              <w:t>arbarous</w:t>
            </w:r>
            <w:r w:rsidR="00193FB9">
              <w:t xml:space="preserve"> (adj.) – savagely cruel or harsh</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684F77">
              <w:t>R</w:t>
            </w:r>
            <w:r w:rsidR="00A07139">
              <w:t xml:space="preserve">I.9-10.5, </w:t>
            </w:r>
            <w:r w:rsidR="00387868">
              <w:t>S</w:t>
            </w:r>
            <w:r w:rsidR="00A07139">
              <w:t>L.9-10.</w:t>
            </w:r>
            <w:r w:rsidR="00387868">
              <w:t>1.a-e</w:t>
            </w:r>
            <w:r w:rsidR="000764E1">
              <w:t>, L.9-10.4.b</w:t>
            </w:r>
          </w:p>
          <w:p w:rsidR="00730123" w:rsidRDefault="00265FA0" w:rsidP="003E6289">
            <w:pPr>
              <w:pStyle w:val="BulletedList"/>
            </w:pPr>
            <w:r>
              <w:t xml:space="preserve">Text: </w:t>
            </w:r>
            <w:r w:rsidR="00583354">
              <w:rPr>
                <w:i/>
              </w:rPr>
              <w:t>The Universal</w:t>
            </w:r>
            <w:r w:rsidR="00A07139" w:rsidRPr="009E7346">
              <w:rPr>
                <w:i/>
              </w:rPr>
              <w:t xml:space="preserve"> </w:t>
            </w:r>
            <w:r w:rsidR="00B404B4">
              <w:rPr>
                <w:i/>
              </w:rPr>
              <w:t>Declaration of Human Rights</w:t>
            </w:r>
            <w:r w:rsidR="009E7346">
              <w:t>, Preamble and Articles 1–10</w:t>
            </w:r>
            <w:r w:rsidR="003E6289">
              <w:t xml:space="preserve"> (</w:t>
            </w:r>
            <w:hyperlink r:id="rId8" w:history="1">
              <w:r w:rsidR="003E6289" w:rsidRPr="00E41A54">
                <w:rPr>
                  <w:rStyle w:val="Hyperlink"/>
                </w:rPr>
                <w:t>http://www.un.org/en/documents/udhr/</w:t>
              </w:r>
            </w:hyperlink>
            <w:r w:rsidR="003E6289">
              <w:t xml:space="preserve">) </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3E6289" w:rsidRDefault="003E6289" w:rsidP="000B2D56">
            <w:pPr>
              <w:pStyle w:val="TableText"/>
              <w:rPr>
                <w:b/>
              </w:rPr>
            </w:pPr>
          </w:p>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844E29">
              <w:t xml:space="preserve"> </w:t>
            </w:r>
          </w:p>
          <w:p w:rsidR="00F51573" w:rsidRDefault="00F51573" w:rsidP="00F51573">
            <w:pPr>
              <w:pStyle w:val="NumberedList"/>
            </w:pPr>
            <w:r>
              <w:lastRenderedPageBreak/>
              <w:t>Masterful Reading</w:t>
            </w:r>
          </w:p>
          <w:p w:rsidR="00844E29" w:rsidRDefault="00130BC3" w:rsidP="00844E29">
            <w:pPr>
              <w:pStyle w:val="NumberedList"/>
            </w:pPr>
            <w:r>
              <w:t xml:space="preserve">Reading and Discussion </w:t>
            </w:r>
          </w:p>
          <w:p w:rsidR="00FE0F4D" w:rsidRDefault="00FE0F4D" w:rsidP="00844E29">
            <w:pPr>
              <w:pStyle w:val="NumberedList"/>
            </w:pPr>
            <w:r>
              <w:t>Jigsaw Discussion</w:t>
            </w:r>
          </w:p>
          <w:p w:rsidR="00F51573" w:rsidRDefault="00F51573" w:rsidP="00F51573">
            <w:pPr>
              <w:pStyle w:val="NumberedList"/>
            </w:pPr>
            <w:r>
              <w:t>Quick Write</w:t>
            </w:r>
          </w:p>
          <w:p w:rsidR="00546D71" w:rsidRPr="00546D71" w:rsidRDefault="00F51573" w:rsidP="00F51573">
            <w:pPr>
              <w:pStyle w:val="NumberedList"/>
            </w:pPr>
            <w:r>
              <w:t>Closing</w:t>
            </w:r>
          </w:p>
        </w:tc>
        <w:tc>
          <w:tcPr>
            <w:tcW w:w="1638" w:type="dxa"/>
            <w:tcBorders>
              <w:top w:val="nil"/>
            </w:tcBorders>
          </w:tcPr>
          <w:p w:rsidR="00546D71" w:rsidRDefault="00546D71" w:rsidP="000B2D56">
            <w:pPr>
              <w:pStyle w:val="TableText"/>
            </w:pPr>
          </w:p>
          <w:p w:rsidR="003E6289" w:rsidRDefault="003E6289" w:rsidP="000B2D56">
            <w:pPr>
              <w:pStyle w:val="TableText"/>
            </w:pPr>
          </w:p>
          <w:p w:rsidR="00F51573" w:rsidRDefault="00622D89" w:rsidP="00916F7F">
            <w:pPr>
              <w:pStyle w:val="NumberedList"/>
              <w:numPr>
                <w:ilvl w:val="0"/>
                <w:numId w:val="8"/>
              </w:numPr>
            </w:pPr>
            <w:r>
              <w:t>5</w:t>
            </w:r>
            <w:r w:rsidR="00F51573">
              <w:t>%</w:t>
            </w:r>
          </w:p>
          <w:p w:rsidR="00F51573" w:rsidRDefault="00717FDA" w:rsidP="00F51573">
            <w:pPr>
              <w:pStyle w:val="NumberedList"/>
            </w:pPr>
            <w:r>
              <w:t>1</w:t>
            </w:r>
            <w:r w:rsidR="00154CC4">
              <w:t>0</w:t>
            </w:r>
            <w:r w:rsidR="00F51573">
              <w:t>%</w:t>
            </w:r>
          </w:p>
          <w:p w:rsidR="00F51573" w:rsidRDefault="00EB6349" w:rsidP="00F51573">
            <w:pPr>
              <w:pStyle w:val="NumberedList"/>
            </w:pPr>
            <w:r>
              <w:lastRenderedPageBreak/>
              <w:t>15</w:t>
            </w:r>
            <w:r w:rsidR="00F51573">
              <w:t>%</w:t>
            </w:r>
          </w:p>
          <w:p w:rsidR="00F51573" w:rsidRDefault="00FE0F4D" w:rsidP="00F51573">
            <w:pPr>
              <w:pStyle w:val="NumberedList"/>
            </w:pPr>
            <w:r>
              <w:t>30</w:t>
            </w:r>
            <w:r w:rsidR="00F51573">
              <w:t>%</w:t>
            </w:r>
          </w:p>
          <w:p w:rsidR="00FE0F4D" w:rsidRDefault="00FE0F4D" w:rsidP="00F51573">
            <w:pPr>
              <w:pStyle w:val="NumberedList"/>
            </w:pPr>
            <w:r>
              <w:t>20</w:t>
            </w:r>
            <w:r w:rsidR="002C0463">
              <w:t>%</w:t>
            </w:r>
          </w:p>
          <w:p w:rsidR="00F51573" w:rsidRDefault="00622D89" w:rsidP="00F51573">
            <w:pPr>
              <w:pStyle w:val="NumberedList"/>
            </w:pPr>
            <w:r>
              <w:t>15</w:t>
            </w:r>
            <w:r w:rsidR="00F51573">
              <w:t>%</w:t>
            </w:r>
          </w:p>
          <w:p w:rsidR="00546D71" w:rsidRPr="00C02EC2" w:rsidRDefault="00F51573" w:rsidP="00F51573">
            <w:pPr>
              <w:pStyle w:val="NumberedList"/>
            </w:pPr>
            <w:r>
              <w:t>5%</w:t>
            </w:r>
          </w:p>
        </w:tc>
      </w:tr>
    </w:tbl>
    <w:p w:rsidR="003368BF" w:rsidRDefault="00F308FF" w:rsidP="00E946A0">
      <w:pPr>
        <w:pStyle w:val="Heading1"/>
      </w:pPr>
      <w:r>
        <w:lastRenderedPageBreak/>
        <w:t>Materials</w:t>
      </w:r>
    </w:p>
    <w:p w:rsidR="00320170" w:rsidRDefault="00AE79A2" w:rsidP="00320170">
      <w:pPr>
        <w:pStyle w:val="BulletedList"/>
      </w:pPr>
      <w:r>
        <w:t xml:space="preserve">Copies of the </w:t>
      </w:r>
      <w:r w:rsidRPr="00AE79A2">
        <w:t>Articles 1–10 Jigsaw Tool</w:t>
      </w:r>
      <w:r>
        <w:t xml:space="preserve"> for each student</w:t>
      </w:r>
    </w:p>
    <w:p w:rsidR="00320170" w:rsidRPr="00320170" w:rsidRDefault="00B404B4" w:rsidP="00320170">
      <w:pPr>
        <w:pStyle w:val="BulletedList"/>
      </w:pPr>
      <w:r>
        <w:t xml:space="preserve">Optional audio recording of Eleanor Roosevelt Reading </w:t>
      </w:r>
      <w:r w:rsidR="00583354" w:rsidRPr="00320170">
        <w:rPr>
          <w:i/>
        </w:rPr>
        <w:t>The Universal</w:t>
      </w:r>
      <w:r w:rsidRPr="00320170">
        <w:rPr>
          <w:i/>
        </w:rPr>
        <w:t xml:space="preserve"> Declaration of Human Rights</w:t>
      </w:r>
      <w:r>
        <w:t xml:space="preserve"> </w:t>
      </w:r>
      <w:r w:rsidR="003E6289">
        <w:t>(</w:t>
      </w:r>
      <w:hyperlink r:id="rId9" w:history="1">
        <w:r w:rsidR="0051016A" w:rsidRPr="003E6289">
          <w:rPr>
            <w:rStyle w:val="Hyperlink"/>
          </w:rPr>
          <w:t>http://unmultimedia.org/radio/library/classics/detail/1007.html</w:t>
        </w:r>
      </w:hyperlink>
      <w:r w:rsidR="003E6289">
        <w:t>)</w:t>
      </w:r>
    </w:p>
    <w:p w:rsidR="00D02041" w:rsidRDefault="00D02041" w:rsidP="00D02041">
      <w:pPr>
        <w:pStyle w:val="BulletedList"/>
      </w:pPr>
      <w:r>
        <w:t>Student copies of the Short Response Rubric and Checklist (refer 10.2.1 Lesson 1)</w:t>
      </w:r>
    </w:p>
    <w:p w:rsidR="002706D5" w:rsidRPr="00320170" w:rsidRDefault="003E6289" w:rsidP="007050F3">
      <w:pPr>
        <w:pStyle w:val="BulletedList"/>
      </w:pPr>
      <w:r>
        <w:t>C</w:t>
      </w:r>
      <w:r w:rsidR="00320170">
        <w:t xml:space="preserve">opies of the Argument Delineation Tool </w:t>
      </w:r>
      <w:r w:rsidR="007050F3">
        <w:t xml:space="preserve">for each student </w:t>
      </w:r>
      <w:r w:rsidR="00320170">
        <w:t>(refer to 10.2.1 Lesson 5)</w:t>
      </w:r>
      <w:r w:rsidR="007050F3" w:rsidRPr="007050F3">
        <w:t xml:space="preserve">—Students </w:t>
      </w:r>
      <w:r w:rsidR="007050F3">
        <w:t>will</w:t>
      </w:r>
      <w:r w:rsidR="007050F3" w:rsidRPr="007050F3">
        <w:t xml:space="preserve"> need blank copies of the tool </w:t>
      </w:r>
      <w:r w:rsidR="007050F3">
        <w:t>for this lesson’s homework</w:t>
      </w:r>
      <w:r w:rsidR="007050F3" w:rsidRPr="007050F3">
        <w:t>.</w:t>
      </w:r>
    </w:p>
    <w:p w:rsidR="00C4787C" w:rsidRPr="00A24DAB" w:rsidRDefault="00C4787C" w:rsidP="002706D5">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622D89">
        <w:t>5</w:t>
      </w:r>
      <w:r w:rsidR="00607856" w:rsidRPr="00A24DAB">
        <w:t>%</w:t>
      </w:r>
    </w:p>
    <w:p w:rsidR="00FE6907" w:rsidRDefault="00FE6907" w:rsidP="00FE6907">
      <w:pPr>
        <w:pStyle w:val="TA"/>
      </w:pPr>
      <w:r>
        <w:t>Begin by reviewing the agenda and sharing the assessed standard for this lesson</w:t>
      </w:r>
      <w:r w:rsidR="00A07139">
        <w:t>: RL.9-10.5</w:t>
      </w:r>
      <w:r>
        <w:t xml:space="preserve">. In this lesson, students explore </w:t>
      </w:r>
      <w:r w:rsidR="003E237C">
        <w:t xml:space="preserve">the Preamble to </w:t>
      </w:r>
      <w:r w:rsidR="00583354" w:rsidRPr="00583354">
        <w:rPr>
          <w:i/>
        </w:rPr>
        <w:t>The Universal</w:t>
      </w:r>
      <w:r w:rsidR="003E237C" w:rsidRPr="00B404B4">
        <w:rPr>
          <w:i/>
        </w:rPr>
        <w:t xml:space="preserve"> </w:t>
      </w:r>
      <w:r w:rsidR="00B404B4" w:rsidRPr="00B404B4">
        <w:rPr>
          <w:i/>
        </w:rPr>
        <w:t>Declaration of Human Rights</w:t>
      </w:r>
      <w:r w:rsidR="003E237C">
        <w:t xml:space="preserve"> and then analyze ho</w:t>
      </w:r>
      <w:r w:rsidR="00FE413B">
        <w:t>w the first 10 Articles of the D</w:t>
      </w:r>
      <w:r w:rsidR="003E237C">
        <w:t>eclaration support th</w:t>
      </w:r>
      <w:r w:rsidR="00456898">
        <w:t>e</w:t>
      </w:r>
      <w:r w:rsidR="003E237C">
        <w:t xml:space="preserve"> ideas introduced in the Preamble. </w:t>
      </w:r>
    </w:p>
    <w:p w:rsidR="00FE6907" w:rsidRDefault="00FE6907" w:rsidP="00456898">
      <w:pPr>
        <w:pStyle w:val="SA"/>
      </w:pPr>
      <w:r>
        <w:t xml:space="preserve">Students </w:t>
      </w:r>
      <w:r w:rsidR="00FC3938">
        <w:t>look at the agenda</w:t>
      </w:r>
      <w:r w:rsidR="00456898">
        <w:t>.</w:t>
      </w:r>
    </w:p>
    <w:p w:rsidR="000B2D56" w:rsidRDefault="000B2D56" w:rsidP="00370743">
      <w:pPr>
        <w:pStyle w:val="LearningSequenceHeader"/>
        <w:keepNext/>
      </w:pPr>
      <w:bookmarkStart w:id="0" w:name="_GoBack"/>
      <w:bookmarkEnd w:id="0"/>
      <w:r>
        <w:lastRenderedPageBreak/>
        <w:t>Activity 2</w:t>
      </w:r>
      <w:r w:rsidRPr="000B2D56">
        <w:t xml:space="preserve">: </w:t>
      </w:r>
      <w:r>
        <w:t>Homework Accountability</w:t>
      </w:r>
      <w:r>
        <w:tab/>
      </w:r>
      <w:r w:rsidR="00717FDA">
        <w:t>1</w:t>
      </w:r>
      <w:r w:rsidR="00154CC4">
        <w:t>0</w:t>
      </w:r>
      <w:r w:rsidRPr="000B2D56">
        <w:t>%</w:t>
      </w:r>
    </w:p>
    <w:p w:rsidR="00602928" w:rsidRDefault="00602928" w:rsidP="00472124">
      <w:pPr>
        <w:pStyle w:val="TA"/>
      </w:pPr>
      <w:r>
        <w:t>Instruct student pairs to share and discuss the vocabulary words they identified and defined in the previous lesson’s homework.</w:t>
      </w:r>
    </w:p>
    <w:p w:rsidR="00602928" w:rsidRDefault="00602928" w:rsidP="00602928">
      <w:pPr>
        <w:pStyle w:val="SR"/>
      </w:pPr>
      <w:r>
        <w:t>Students may identify the following words:</w:t>
      </w:r>
      <w:r w:rsidRPr="00602928">
        <w:t xml:space="preserve"> </w:t>
      </w:r>
      <w:r w:rsidR="001C52E9" w:rsidRPr="001C52E9">
        <w:rPr>
          <w:i/>
        </w:rPr>
        <w:t>whereas,</w:t>
      </w:r>
      <w:r w:rsidR="001C52E9">
        <w:t xml:space="preserve"> </w:t>
      </w:r>
      <w:r w:rsidR="00823D34" w:rsidRPr="00823D34">
        <w:rPr>
          <w:i/>
        </w:rPr>
        <w:t xml:space="preserve">inherent, contempt, advent, </w:t>
      </w:r>
      <w:r w:rsidR="001C52E9">
        <w:rPr>
          <w:i/>
        </w:rPr>
        <w:t xml:space="preserve">want, </w:t>
      </w:r>
      <w:r w:rsidR="00823D34" w:rsidRPr="00823D34">
        <w:rPr>
          <w:i/>
        </w:rPr>
        <w:t>recourse, jurisdiction, endowed, sovereignty, degrading, tribunal</w:t>
      </w:r>
      <w:r w:rsidR="007B4AC1">
        <w:rPr>
          <w:i/>
        </w:rPr>
        <w:t>s</w:t>
      </w:r>
      <w:r w:rsidR="00823D34" w:rsidRPr="00823D34">
        <w:rPr>
          <w:i/>
        </w:rPr>
        <w:t xml:space="preserve">, </w:t>
      </w:r>
      <w:r w:rsidR="00823D34" w:rsidRPr="00823D34">
        <w:t>and</w:t>
      </w:r>
      <w:r w:rsidR="00823D34" w:rsidRPr="00823D34">
        <w:rPr>
          <w:i/>
        </w:rPr>
        <w:t xml:space="preserve"> arbitrary</w:t>
      </w:r>
      <w:r>
        <w:t>.</w:t>
      </w:r>
    </w:p>
    <w:p w:rsidR="000B2D56" w:rsidRDefault="00602928" w:rsidP="00602928">
      <w:pPr>
        <w:pStyle w:val="IN"/>
      </w:pPr>
      <w:r>
        <w:t>D</w:t>
      </w:r>
      <w:r w:rsidR="00FE413B">
        <w:t>efinitions are provided in the v</w:t>
      </w:r>
      <w:r>
        <w:t>ocabulary box in this lesson.</w:t>
      </w:r>
    </w:p>
    <w:p w:rsidR="000B2D56" w:rsidRDefault="000B2D56" w:rsidP="00C31AA4">
      <w:pPr>
        <w:pStyle w:val="LearningSequenceHeader"/>
      </w:pPr>
      <w:r w:rsidRPr="000B2D56">
        <w:t xml:space="preserve">Activity </w:t>
      </w:r>
      <w:r>
        <w:t>3</w:t>
      </w:r>
      <w:r w:rsidRPr="000B2D56">
        <w:t xml:space="preserve">: </w:t>
      </w:r>
      <w:r w:rsidR="002F2A18">
        <w:t>Masterful Reading</w:t>
      </w:r>
      <w:r>
        <w:tab/>
      </w:r>
      <w:r w:rsidR="000B01B2">
        <w:t>15</w:t>
      </w:r>
      <w:r w:rsidRPr="000B2D56">
        <w:t>%</w:t>
      </w:r>
    </w:p>
    <w:p w:rsidR="007F05CA" w:rsidRDefault="007F05CA" w:rsidP="007F05CA">
      <w:pPr>
        <w:pStyle w:val="TA"/>
      </w:pPr>
      <w:r>
        <w:t xml:space="preserve">Have students listen </w:t>
      </w:r>
      <w:r w:rsidR="00FE413B">
        <w:t>to a Masterful R</w:t>
      </w:r>
      <w:r w:rsidR="00A63A13">
        <w:t xml:space="preserve">eading of the Preamble and </w:t>
      </w:r>
      <w:r w:rsidR="00A70328">
        <w:t xml:space="preserve">the first 10 </w:t>
      </w:r>
      <w:r w:rsidR="00A63A13">
        <w:t xml:space="preserve">Articles from </w:t>
      </w:r>
      <w:r w:rsidR="00583354">
        <w:rPr>
          <w:i/>
        </w:rPr>
        <w:t>The Universal</w:t>
      </w:r>
      <w:r w:rsidR="00A63A13">
        <w:rPr>
          <w:i/>
        </w:rPr>
        <w:t xml:space="preserve"> </w:t>
      </w:r>
      <w:r w:rsidR="00B404B4">
        <w:rPr>
          <w:i/>
        </w:rPr>
        <w:t>Declaration of Human Rights</w:t>
      </w:r>
      <w:r w:rsidR="00A73AFF">
        <w:rPr>
          <w:i/>
        </w:rPr>
        <w:t xml:space="preserve"> </w:t>
      </w:r>
      <w:r w:rsidR="00A73AFF">
        <w:t>(from “</w:t>
      </w:r>
      <w:r w:rsidR="00951380" w:rsidRPr="007536B9">
        <w:t>Whereas recognition of the inherent dignity and of the equal and inalienable</w:t>
      </w:r>
      <w:r w:rsidR="00A73AFF">
        <w:t>” to “</w:t>
      </w:r>
      <w:r w:rsidR="00A73AFF" w:rsidRPr="00A73AFF">
        <w:t>rights and obligations and of any criminal charge against him</w:t>
      </w:r>
      <w:r w:rsidR="00A73AFF">
        <w:t>”)</w:t>
      </w:r>
      <w:r w:rsidR="00A63A13">
        <w:rPr>
          <w:i/>
        </w:rPr>
        <w:t>.</w:t>
      </w:r>
      <w:r>
        <w:t xml:space="preserve"> In</w:t>
      </w:r>
      <w:r w:rsidR="007B4AC1">
        <w:t>struct</w:t>
      </w:r>
      <w:r>
        <w:t xml:space="preserve"> stude</w:t>
      </w:r>
      <w:r w:rsidR="00AD75F3">
        <w:t xml:space="preserve">nts </w:t>
      </w:r>
      <w:r w:rsidR="007B4AC1">
        <w:t xml:space="preserve">to </w:t>
      </w:r>
      <w:r w:rsidR="00C93F26">
        <w:t xml:space="preserve">follow along and </w:t>
      </w:r>
      <w:r w:rsidR="00AD75F3">
        <w:t xml:space="preserve">pause at </w:t>
      </w:r>
      <w:r w:rsidR="00A70328">
        <w:t>two</w:t>
      </w:r>
      <w:r w:rsidR="00AD75F3">
        <w:t xml:space="preserve"> </w:t>
      </w:r>
      <w:r>
        <w:t xml:space="preserve">points during the </w:t>
      </w:r>
      <w:r w:rsidR="00A04070">
        <w:t xml:space="preserve">reading </w:t>
      </w:r>
      <w:r>
        <w:t>(</w:t>
      </w:r>
      <w:r w:rsidR="00AD75F3">
        <w:t xml:space="preserve">after the Preamble and after </w:t>
      </w:r>
      <w:r w:rsidR="00A04070">
        <w:t xml:space="preserve">Article </w:t>
      </w:r>
      <w:r w:rsidR="00AD75F3">
        <w:t>10</w:t>
      </w:r>
      <w:r>
        <w:t>) to write down their initial quest</w:t>
      </w:r>
      <w:r w:rsidR="00AD75F3">
        <w:t xml:space="preserve">ions and reactions to the </w:t>
      </w:r>
      <w:r w:rsidR="00A04070">
        <w:t>D</w:t>
      </w:r>
      <w:r w:rsidR="00AD75F3">
        <w:t>eclaration</w:t>
      </w:r>
      <w:r>
        <w:t>.</w:t>
      </w:r>
    </w:p>
    <w:p w:rsidR="007F05CA" w:rsidRDefault="007F05CA" w:rsidP="007F05CA">
      <w:pPr>
        <w:pStyle w:val="SA"/>
      </w:pPr>
      <w:r>
        <w:t>Students follow along, reading silently then writing initial reactions and questions.</w:t>
      </w:r>
    </w:p>
    <w:p w:rsidR="00130BC3" w:rsidRDefault="007F05CA" w:rsidP="00096660">
      <w:pPr>
        <w:pStyle w:val="TA"/>
      </w:pPr>
      <w:r>
        <w:t>Lead a brief class share out of students’ initial reactions and questions. Remind students that as they analyze the text throughout the unit, they will answer many of these initial questions.</w:t>
      </w:r>
    </w:p>
    <w:p w:rsidR="00707670" w:rsidRDefault="00707670" w:rsidP="00707670">
      <w:pPr>
        <w:pStyle w:val="LearningSequenceHeader"/>
      </w:pPr>
      <w:r>
        <w:t>Activity 4</w:t>
      </w:r>
      <w:r w:rsidRPr="00707670">
        <w:t xml:space="preserve">: </w:t>
      </w:r>
      <w:r w:rsidR="00F44203">
        <w:t>Reading and Discussion</w:t>
      </w:r>
      <w:r w:rsidRPr="00707670">
        <w:tab/>
      </w:r>
      <w:r w:rsidR="00FE0F4D">
        <w:t>30</w:t>
      </w:r>
      <w:r w:rsidRPr="00707670">
        <w:t>%</w:t>
      </w:r>
    </w:p>
    <w:p w:rsidR="000E68BE" w:rsidRDefault="00FC3938" w:rsidP="000E68BE">
      <w:pPr>
        <w:pStyle w:val="TA"/>
      </w:pPr>
      <w:r>
        <w:t xml:space="preserve">Instruct </w:t>
      </w:r>
      <w:r w:rsidR="000E68BE">
        <w:t>students</w:t>
      </w:r>
      <w:r>
        <w:t xml:space="preserve"> to</w:t>
      </w:r>
      <w:r w:rsidR="000E68BE">
        <w:t xml:space="preserve"> </w:t>
      </w:r>
      <w:r>
        <w:t xml:space="preserve">stop and take notes </w:t>
      </w:r>
      <w:r w:rsidR="007B4AC1">
        <w:t>throughout this discussion in</w:t>
      </w:r>
      <w:r>
        <w:t xml:space="preserve"> preparation for the Quick Write assessment. Ask</w:t>
      </w:r>
      <w:r w:rsidRPr="00B67087">
        <w:t xml:space="preserve"> </w:t>
      </w:r>
      <w:r w:rsidR="000E68BE" w:rsidRPr="00B67087">
        <w:t>students to take notes in their notebooks or add to their text annotation.</w:t>
      </w:r>
    </w:p>
    <w:p w:rsidR="000E68BE" w:rsidRDefault="000E68BE" w:rsidP="000E68BE">
      <w:pPr>
        <w:pStyle w:val="SA"/>
      </w:pPr>
      <w:r>
        <w:t>Students listen.</w:t>
      </w:r>
    </w:p>
    <w:p w:rsidR="006F09DE" w:rsidRDefault="007B4AC1" w:rsidP="00472124">
      <w:pPr>
        <w:pStyle w:val="TA"/>
      </w:pPr>
      <w:r>
        <w:t xml:space="preserve">Instruct students to form pairs. </w:t>
      </w:r>
      <w:r w:rsidR="006F09DE" w:rsidRPr="00DF7C88">
        <w:t xml:space="preserve">Post or project </w:t>
      </w:r>
      <w:r>
        <w:t xml:space="preserve">each set of </w:t>
      </w:r>
      <w:r w:rsidR="006F09DE" w:rsidRPr="00DF7C88">
        <w:t>questions</w:t>
      </w:r>
      <w:r>
        <w:t xml:space="preserve"> below</w:t>
      </w:r>
      <w:r w:rsidR="006F09DE" w:rsidRPr="00DF7C88">
        <w:t xml:space="preserve"> for students to </w:t>
      </w:r>
      <w:r>
        <w:t>discuss</w:t>
      </w:r>
      <w:r w:rsidR="006F09DE">
        <w:t>.</w:t>
      </w:r>
    </w:p>
    <w:p w:rsidR="007B4AC1" w:rsidRDefault="007B4AC1" w:rsidP="007B4AC1">
      <w:pPr>
        <w:pStyle w:val="TA"/>
      </w:pPr>
      <w:r>
        <w:t xml:space="preserve">Instruct student pairs to read paragraphs </w:t>
      </w:r>
      <w:r w:rsidRPr="00AD75F3">
        <w:t>1</w:t>
      </w:r>
      <w:r>
        <w:t>–5 of the Preamble</w:t>
      </w:r>
      <w:r w:rsidRPr="00AD75F3">
        <w:t xml:space="preserve"> </w:t>
      </w:r>
      <w:r>
        <w:t>(from “Whereas recognition of the inherent dignity and of the equal and inalienable” to “better standards of life in larger freedom”) and answer the following questions before sharing out with the class</w:t>
      </w:r>
      <w:r w:rsidRPr="00AD75F3">
        <w:t>.</w:t>
      </w:r>
    </w:p>
    <w:p w:rsidR="00193FB9" w:rsidRDefault="00193FB9" w:rsidP="00AD75F3">
      <w:pPr>
        <w:pStyle w:val="Q"/>
      </w:pPr>
      <w:r>
        <w:t>Why are human rights “inalienable”</w:t>
      </w:r>
      <w:r w:rsidR="00951380">
        <w:t xml:space="preserve"> (par</w:t>
      </w:r>
      <w:r w:rsidR="00FF5197">
        <w:t>.</w:t>
      </w:r>
      <w:r w:rsidR="00951380">
        <w:t xml:space="preserve"> 1)</w:t>
      </w:r>
      <w:r>
        <w:t>? Consider the structure and p</w:t>
      </w:r>
      <w:r w:rsidR="009E7346">
        <w:t>arts of the word “inalienable</w:t>
      </w:r>
      <w:r>
        <w:t>”</w:t>
      </w:r>
      <w:r w:rsidR="009E7346">
        <w:t xml:space="preserve"> to define the word.</w:t>
      </w:r>
    </w:p>
    <w:p w:rsidR="00C55739" w:rsidRDefault="00193FB9" w:rsidP="00AD75F3">
      <w:pPr>
        <w:pStyle w:val="SR"/>
      </w:pPr>
      <w:r>
        <w:t xml:space="preserve">The prefix </w:t>
      </w:r>
      <w:r w:rsidRPr="00CE2379">
        <w:rPr>
          <w:i/>
        </w:rPr>
        <w:t>in–</w:t>
      </w:r>
      <w:r>
        <w:t xml:space="preserve"> means “not.” The suffix </w:t>
      </w:r>
      <w:r w:rsidRPr="00CE2379">
        <w:rPr>
          <w:i/>
        </w:rPr>
        <w:t>–able</w:t>
      </w:r>
      <w:r>
        <w:t xml:space="preserve"> means “to be able to.”</w:t>
      </w:r>
      <w:r w:rsidR="00CE2379">
        <w:t xml:space="preserve"> </w:t>
      </w:r>
      <w:r w:rsidR="00CE2379" w:rsidRPr="00CE2379">
        <w:rPr>
          <w:i/>
        </w:rPr>
        <w:t xml:space="preserve">Alien </w:t>
      </w:r>
      <w:r w:rsidR="00CE2379">
        <w:t>means foreign or excluded. Therefo</w:t>
      </w:r>
      <w:r w:rsidR="003E2F69">
        <w:t>re</w:t>
      </w:r>
      <w:r w:rsidR="00CE2379">
        <w:t xml:space="preserve">, </w:t>
      </w:r>
      <w:r w:rsidR="003E2F69">
        <w:t>human rights are “</w:t>
      </w:r>
      <w:r w:rsidR="00CE2379">
        <w:t>inalienable rights</w:t>
      </w:r>
      <w:r w:rsidR="003E2F69">
        <w:t>”</w:t>
      </w:r>
      <w:r w:rsidR="00CE2379">
        <w:t xml:space="preserve"> </w:t>
      </w:r>
      <w:r w:rsidR="003E2F69">
        <w:t xml:space="preserve">because they </w:t>
      </w:r>
      <w:r w:rsidR="00CE2379">
        <w:t>cannot be taken or given away</w:t>
      </w:r>
      <w:r w:rsidR="005F461C">
        <w:t>.</w:t>
      </w:r>
      <w:r w:rsidR="00CE2379">
        <w:t xml:space="preserve"> </w:t>
      </w:r>
    </w:p>
    <w:p w:rsidR="00CE2379" w:rsidRDefault="00C55739" w:rsidP="00C55739">
      <w:pPr>
        <w:pStyle w:val="SA"/>
      </w:pPr>
      <w:r>
        <w:t xml:space="preserve">Students write the definition of </w:t>
      </w:r>
      <w:r>
        <w:rPr>
          <w:i/>
        </w:rPr>
        <w:t>inalienable</w:t>
      </w:r>
      <w:r>
        <w:t xml:space="preserve"> on their copy of the text or in a vocabulary journal.</w:t>
      </w:r>
    </w:p>
    <w:p w:rsidR="00D31839" w:rsidRDefault="00223794" w:rsidP="00223794">
      <w:pPr>
        <w:pStyle w:val="IN"/>
      </w:pPr>
      <w:r w:rsidRPr="00043F7A">
        <w:lastRenderedPageBreak/>
        <w:t>Consider drawing students’ attention to th</w:t>
      </w:r>
      <w:r>
        <w:t>eir application of standard L.9-10</w:t>
      </w:r>
      <w:r w:rsidRPr="00043F7A">
        <w:t>.4.</w:t>
      </w:r>
      <w:r>
        <w:t>b</w:t>
      </w:r>
      <w:r w:rsidRPr="00043F7A">
        <w:t xml:space="preserve"> through the process of using </w:t>
      </w:r>
      <w:r>
        <w:t>word parts to determine meaning</w:t>
      </w:r>
      <w:r w:rsidRPr="00043F7A">
        <w:t>.</w:t>
      </w:r>
    </w:p>
    <w:p w:rsidR="004A4B63" w:rsidRPr="0091667F" w:rsidRDefault="008E1564" w:rsidP="0091667F">
      <w:pPr>
        <w:pStyle w:val="IN"/>
      </w:pPr>
      <w:proofErr w:type="gramStart"/>
      <w:r>
        <w:t>,C</w:t>
      </w:r>
      <w:r w:rsidR="007A6CCC" w:rsidRPr="0091667F">
        <w:t>onsider</w:t>
      </w:r>
      <w:proofErr w:type="gramEnd"/>
      <w:r w:rsidR="007A6CCC" w:rsidRPr="0091667F">
        <w:t xml:space="preserve"> providing students with the following definition</w:t>
      </w:r>
      <w:r w:rsidR="004A4B63" w:rsidRPr="0091667F">
        <w:t xml:space="preserve">: </w:t>
      </w:r>
      <w:r w:rsidR="007A6CCC" w:rsidRPr="007B4AC1">
        <w:rPr>
          <w:i/>
        </w:rPr>
        <w:t>inalienable</w:t>
      </w:r>
      <w:r w:rsidR="007A6CCC" w:rsidRPr="0091667F">
        <w:t xml:space="preserve"> means "</w:t>
      </w:r>
      <w:r w:rsidR="004A4B63" w:rsidRPr="0091667F">
        <w:t>not transferable to another or capable of being repudiated</w:t>
      </w:r>
      <w:r w:rsidR="00455BB3" w:rsidRPr="0091667F">
        <w:t>.</w:t>
      </w:r>
      <w:r w:rsidR="007A6CCC" w:rsidRPr="0091667F">
        <w:t>"</w:t>
      </w:r>
    </w:p>
    <w:p w:rsidR="00AD75F3" w:rsidRDefault="002670F2" w:rsidP="00CE2379">
      <w:pPr>
        <w:pStyle w:val="Q"/>
      </w:pPr>
      <w:r>
        <w:t xml:space="preserve">What words does </w:t>
      </w:r>
      <w:r w:rsidR="00583354" w:rsidRPr="007D3D67">
        <w:rPr>
          <w:i/>
        </w:rPr>
        <w:t>The Universal</w:t>
      </w:r>
      <w:r w:rsidR="00E21E0E" w:rsidRPr="00967371">
        <w:rPr>
          <w:i/>
        </w:rPr>
        <w:t xml:space="preserve"> </w:t>
      </w:r>
      <w:r w:rsidR="00866051" w:rsidRPr="00967371">
        <w:rPr>
          <w:i/>
        </w:rPr>
        <w:t>D</w:t>
      </w:r>
      <w:r w:rsidRPr="00967371">
        <w:rPr>
          <w:i/>
        </w:rPr>
        <w:t>eclaration</w:t>
      </w:r>
      <w:r w:rsidR="00E21E0E" w:rsidRPr="00967371">
        <w:rPr>
          <w:i/>
        </w:rPr>
        <w:t xml:space="preserve"> of Human Rights</w:t>
      </w:r>
      <w:r w:rsidR="00E21E0E">
        <w:t xml:space="preserve"> </w:t>
      </w:r>
      <w:r>
        <w:t>use to describe people of the world in paragraph 1?</w:t>
      </w:r>
      <w:r w:rsidR="003E2F69">
        <w:t xml:space="preserve"> What is the impact of this </w:t>
      </w:r>
      <w:r w:rsidR="00FF5197">
        <w:t xml:space="preserve">choice </w:t>
      </w:r>
      <w:r w:rsidR="007B4AC1">
        <w:t>of</w:t>
      </w:r>
      <w:r w:rsidR="00FF5197">
        <w:t xml:space="preserve"> words</w:t>
      </w:r>
      <w:r w:rsidR="003E2F69">
        <w:t>?</w:t>
      </w:r>
    </w:p>
    <w:p w:rsidR="002670F2" w:rsidRDefault="00FE413B" w:rsidP="002670F2">
      <w:pPr>
        <w:pStyle w:val="SR"/>
      </w:pPr>
      <w:r>
        <w:t>The D</w:t>
      </w:r>
      <w:r w:rsidR="002670F2">
        <w:t>eclaration describes people of</w:t>
      </w:r>
      <w:r w:rsidR="00C55739">
        <w:t xml:space="preserve"> the world as “the human family</w:t>
      </w:r>
      <w:r w:rsidR="002670F2">
        <w:t>”</w:t>
      </w:r>
      <w:r w:rsidR="00C55739">
        <w:t xml:space="preserve"> (par. 1).</w:t>
      </w:r>
      <w:r w:rsidR="003E2F69">
        <w:t xml:space="preserve"> This word choice develops the idea that all people have a responsibility </w:t>
      </w:r>
      <w:r w:rsidR="00736321">
        <w:t xml:space="preserve">for </w:t>
      </w:r>
      <w:r w:rsidR="003E2F69">
        <w:t>and a connection with each other.</w:t>
      </w:r>
    </w:p>
    <w:p w:rsidR="00CE2379" w:rsidRDefault="004F72C6" w:rsidP="00CE2379">
      <w:pPr>
        <w:pStyle w:val="Q"/>
      </w:pPr>
      <w:r>
        <w:t>What are the effects of the</w:t>
      </w:r>
      <w:r w:rsidR="00CE2379">
        <w:t xml:space="preserve"> </w:t>
      </w:r>
      <w:r w:rsidR="00CE2379">
        <w:rPr>
          <w:i/>
        </w:rPr>
        <w:t xml:space="preserve">barbarous </w:t>
      </w:r>
      <w:r w:rsidR="00CE2379">
        <w:t xml:space="preserve">acts described in paragraph 2? What elements of the word </w:t>
      </w:r>
      <w:r w:rsidR="00CE2379">
        <w:rPr>
          <w:i/>
        </w:rPr>
        <w:t>barbarous</w:t>
      </w:r>
      <w:r w:rsidR="00CE2379">
        <w:t xml:space="preserve"> confirm the definition of the word?</w:t>
      </w:r>
    </w:p>
    <w:p w:rsidR="00CE2379" w:rsidRPr="00CE2379" w:rsidRDefault="00B71A4C" w:rsidP="00B71A4C">
      <w:pPr>
        <w:pStyle w:val="SR"/>
      </w:pPr>
      <w:r>
        <w:rPr>
          <w:i/>
        </w:rPr>
        <w:t xml:space="preserve">Barbarous </w:t>
      </w:r>
      <w:r>
        <w:t>acts are those that violate human rights and “outrage the conscience of mankind”</w:t>
      </w:r>
      <w:r w:rsidR="00436B5D">
        <w:t xml:space="preserve"> (par.</w:t>
      </w:r>
      <w:r w:rsidR="00D66591">
        <w:t xml:space="preserve"> </w:t>
      </w:r>
      <w:r w:rsidR="00436B5D">
        <w:t>2).</w:t>
      </w:r>
      <w:r>
        <w:t xml:space="preserve"> </w:t>
      </w:r>
      <w:r w:rsidRPr="007B4AC1">
        <w:rPr>
          <w:i/>
        </w:rPr>
        <w:t>Barbarous</w:t>
      </w:r>
      <w:r>
        <w:t xml:space="preserve"> shares a root with barbaric, which confirms that </w:t>
      </w:r>
      <w:r w:rsidRPr="007B4AC1">
        <w:rPr>
          <w:i/>
        </w:rPr>
        <w:t>barbarous</w:t>
      </w:r>
      <w:r>
        <w:t xml:space="preserve"> acts are vicious and inhuman.</w:t>
      </w:r>
    </w:p>
    <w:p w:rsidR="00A11040" w:rsidRPr="0024329E" w:rsidRDefault="00A11040" w:rsidP="00A11040">
      <w:pPr>
        <w:pStyle w:val="SA"/>
      </w:pPr>
      <w:r>
        <w:t xml:space="preserve">Students write the definition of </w:t>
      </w:r>
      <w:r>
        <w:rPr>
          <w:i/>
        </w:rPr>
        <w:t>barbarous</w:t>
      </w:r>
      <w:r>
        <w:t xml:space="preserve"> on their copy of the text or in a vocabulary journal.</w:t>
      </w:r>
    </w:p>
    <w:p w:rsidR="008C77C7" w:rsidRDefault="00223794">
      <w:pPr>
        <w:pStyle w:val="IN"/>
      </w:pPr>
      <w:r w:rsidRPr="00043F7A">
        <w:t>Consider drawing students’ attention to th</w:t>
      </w:r>
      <w:r>
        <w:t>eir application of standard L.9-10</w:t>
      </w:r>
      <w:r w:rsidRPr="00043F7A">
        <w:t>.4.</w:t>
      </w:r>
      <w:r>
        <w:t>b</w:t>
      </w:r>
      <w:r w:rsidRPr="00043F7A">
        <w:t xml:space="preserve"> through the process of using </w:t>
      </w:r>
      <w:r>
        <w:t>word parts to determine meaning</w:t>
      </w:r>
      <w:r w:rsidRPr="00043F7A">
        <w:t>.</w:t>
      </w:r>
    </w:p>
    <w:p w:rsidR="001D7B01" w:rsidRPr="00C55739" w:rsidRDefault="008E1564" w:rsidP="00C55739">
      <w:pPr>
        <w:pStyle w:val="IN"/>
      </w:pPr>
      <w:r>
        <w:t>C</w:t>
      </w:r>
      <w:r w:rsidR="001D7B01" w:rsidRPr="00C55739">
        <w:t xml:space="preserve">onsider providing students with the following definition: </w:t>
      </w:r>
      <w:r w:rsidR="001D7B01" w:rsidRPr="007B4AC1">
        <w:rPr>
          <w:i/>
        </w:rPr>
        <w:t>barbarous</w:t>
      </w:r>
      <w:r w:rsidR="001D7B01" w:rsidRPr="00C55739">
        <w:t xml:space="preserve"> means "savagely cruel or harsh."</w:t>
      </w:r>
    </w:p>
    <w:p w:rsidR="002670F2" w:rsidRDefault="002670F2" w:rsidP="002670F2">
      <w:pPr>
        <w:pStyle w:val="Q"/>
      </w:pPr>
      <w:r>
        <w:t>What is the “highest a</w:t>
      </w:r>
      <w:r w:rsidR="00F9549C">
        <w:t>spiration of the common people”</w:t>
      </w:r>
      <w:r w:rsidR="002D2AFD">
        <w:t xml:space="preserve"> (</w:t>
      </w:r>
      <w:r w:rsidR="00D66591">
        <w:t xml:space="preserve">par. </w:t>
      </w:r>
      <w:r w:rsidR="002D2AFD">
        <w:t>2)</w:t>
      </w:r>
      <w:r w:rsidR="00F9549C">
        <w:t>?</w:t>
      </w:r>
    </w:p>
    <w:p w:rsidR="00096660" w:rsidRDefault="002670F2" w:rsidP="00096660">
      <w:pPr>
        <w:pStyle w:val="SR"/>
      </w:pPr>
      <w:r>
        <w:t>The highest aspiration of the common people</w:t>
      </w:r>
      <w:r w:rsidR="00683F00">
        <w:t xml:space="preserve"> is a world in which human beings</w:t>
      </w:r>
      <w:r>
        <w:t xml:space="preserve"> will “enjoy freedom of speech and belief and freedom from f</w:t>
      </w:r>
      <w:r w:rsidR="0061536D">
        <w:t>e</w:t>
      </w:r>
      <w:r>
        <w:t>ar and want”</w:t>
      </w:r>
      <w:r w:rsidR="00436B5D">
        <w:t xml:space="preserve"> (par. 2).</w:t>
      </w:r>
    </w:p>
    <w:p w:rsidR="007C7BB7" w:rsidRDefault="007C7BB7" w:rsidP="007C7BB7">
      <w:pPr>
        <w:pStyle w:val="Q"/>
      </w:pPr>
      <w:r>
        <w:t>According to paragraph 3, what is “essential”? Why is it essential?</w:t>
      </w:r>
    </w:p>
    <w:p w:rsidR="007C7BB7" w:rsidRDefault="007C7BB7" w:rsidP="00096660">
      <w:pPr>
        <w:pStyle w:val="SR"/>
      </w:pPr>
      <w:r>
        <w:t xml:space="preserve">It is “essential” that </w:t>
      </w:r>
      <w:r w:rsidR="00A73AFF">
        <w:t>“</w:t>
      </w:r>
      <w:r w:rsidRPr="007C7BB7">
        <w:t>human rights should be protected by the rule of law</w:t>
      </w:r>
      <w:r>
        <w:t>.” If human rights are not protected by law, then people may be “compelled” to rebel against “tyranny and oppression”</w:t>
      </w:r>
      <w:r w:rsidR="00B03A14">
        <w:t xml:space="preserve"> (par. 3).</w:t>
      </w:r>
    </w:p>
    <w:p w:rsidR="007C7BB7" w:rsidRDefault="007C7BB7" w:rsidP="007C7BB7">
      <w:pPr>
        <w:pStyle w:val="Q"/>
        <w:rPr>
          <w:i/>
        </w:rPr>
      </w:pPr>
      <w:r>
        <w:t xml:space="preserve">According to paragraph 4, what is “essential”? What does this reveal about </w:t>
      </w:r>
      <w:r w:rsidR="008B3D58">
        <w:t>a</w:t>
      </w:r>
      <w:r>
        <w:t xml:space="preserve"> purpose of </w:t>
      </w:r>
      <w:r w:rsidR="00583354" w:rsidRPr="007D3D67">
        <w:rPr>
          <w:i/>
        </w:rPr>
        <w:t>The Universal</w:t>
      </w:r>
      <w:r w:rsidRPr="007C7BB7">
        <w:rPr>
          <w:i/>
        </w:rPr>
        <w:t xml:space="preserve"> Declaration of Human Rights</w:t>
      </w:r>
      <w:r w:rsidR="00721E0E">
        <w:t>?</w:t>
      </w:r>
      <w:r w:rsidRPr="007C7BB7">
        <w:rPr>
          <w:i/>
        </w:rPr>
        <w:t xml:space="preserve"> </w:t>
      </w:r>
    </w:p>
    <w:p w:rsidR="007C7BB7" w:rsidRPr="007C7BB7" w:rsidRDefault="007C7BB7" w:rsidP="007C7BB7">
      <w:pPr>
        <w:pStyle w:val="SR"/>
      </w:pPr>
      <w:r>
        <w:t xml:space="preserve">Paragraph 4 says it is “essential” </w:t>
      </w:r>
      <w:r w:rsidRPr="007C7BB7">
        <w:t xml:space="preserve">to </w:t>
      </w:r>
      <w:r w:rsidR="00D66591">
        <w:t>“</w:t>
      </w:r>
      <w:r w:rsidRPr="007C7BB7">
        <w:t>promote the development of friendly relations between nations</w:t>
      </w:r>
      <w:r>
        <w:t xml:space="preserve">.” This reveals the </w:t>
      </w:r>
      <w:r w:rsidR="007A47B4" w:rsidRPr="007A47B4">
        <w:rPr>
          <w:i/>
        </w:rPr>
        <w:t>Universal Declaration on Human Rights</w:t>
      </w:r>
      <w:r w:rsidR="00A73AFF">
        <w:t>’</w:t>
      </w:r>
      <w:r>
        <w:t xml:space="preserve"> purpose is to </w:t>
      </w:r>
      <w:r w:rsidR="00A70328">
        <w:t>promote peace and better relations between nations</w:t>
      </w:r>
      <w:r>
        <w:t>.</w:t>
      </w:r>
    </w:p>
    <w:p w:rsidR="00FE0F4D" w:rsidRDefault="000356C8">
      <w:pPr>
        <w:pStyle w:val="TA"/>
      </w:pPr>
      <w:r>
        <w:t>Lead a brief whole-class discussion of student responses.</w:t>
      </w:r>
    </w:p>
    <w:p w:rsidR="00781CBB" w:rsidRDefault="00781CBB" w:rsidP="00F57E28">
      <w:pPr>
        <w:pStyle w:val="BR"/>
      </w:pPr>
    </w:p>
    <w:p w:rsidR="006F09DE" w:rsidRDefault="00994026" w:rsidP="00A45152">
      <w:pPr>
        <w:pStyle w:val="TA"/>
      </w:pPr>
      <w:r>
        <w:t>Instruct student pairs to read paragraphs 6–8 of the Preamble</w:t>
      </w:r>
      <w:r w:rsidRPr="00AD75F3">
        <w:t xml:space="preserve"> </w:t>
      </w:r>
      <w:r>
        <w:t>(from “Whereas Member States have pledged themselves to achieve” to “among the peoples of territories under their jurisdiction”)</w:t>
      </w:r>
      <w:r w:rsidR="000E21E2">
        <w:t xml:space="preserve"> and answer the following question before sharing out with the class</w:t>
      </w:r>
      <w:r w:rsidR="006F09DE">
        <w:t>.</w:t>
      </w:r>
    </w:p>
    <w:p w:rsidR="00F57E28" w:rsidRDefault="00F57E28" w:rsidP="00F57E28">
      <w:pPr>
        <w:pStyle w:val="Q"/>
      </w:pPr>
      <w:r>
        <w:t>What ideas</w:t>
      </w:r>
      <w:r w:rsidR="001C52E9">
        <w:t xml:space="preserve"> and words</w:t>
      </w:r>
      <w:r>
        <w:t xml:space="preserve"> are repeated </w:t>
      </w:r>
      <w:r w:rsidR="00935C7D">
        <w:t xml:space="preserve">throughout </w:t>
      </w:r>
      <w:r>
        <w:t xml:space="preserve">the </w:t>
      </w:r>
      <w:r w:rsidR="00D66591">
        <w:t>Preamble</w:t>
      </w:r>
      <w:r>
        <w:t>? What is the cumulative impact of this repetition?</w:t>
      </w:r>
    </w:p>
    <w:p w:rsidR="00D21A23" w:rsidRDefault="00D21A23" w:rsidP="00F57E28">
      <w:pPr>
        <w:pStyle w:val="SR"/>
      </w:pPr>
      <w:r>
        <w:t xml:space="preserve">Every paragraph addresses “rights” and “freedoms.” This repetition, combined with the title of </w:t>
      </w:r>
      <w:r w:rsidR="00A73AFF">
        <w:rPr>
          <w:i/>
        </w:rPr>
        <w:t>The Universal Declaration of Human Rights</w:t>
      </w:r>
      <w:r>
        <w:t xml:space="preserve">, develops the </w:t>
      </w:r>
      <w:r w:rsidR="00A73AFF">
        <w:t>document</w:t>
      </w:r>
      <w:r>
        <w:t>’s focus on human rights.</w:t>
      </w:r>
    </w:p>
    <w:p w:rsidR="003F5885" w:rsidRDefault="003F5885" w:rsidP="003F5885">
      <w:pPr>
        <w:pStyle w:val="IN"/>
      </w:pPr>
      <w:r>
        <w:t>Students may also note the repetition of the word “whereas.” Consider reminding students of the definition and asking the following extension question:</w:t>
      </w:r>
    </w:p>
    <w:p w:rsidR="003F5885" w:rsidRDefault="003F5885" w:rsidP="003F5885">
      <w:pPr>
        <w:pStyle w:val="Q"/>
        <w:ind w:left="360"/>
        <w:rPr>
          <w:color w:val="4F81BD" w:themeColor="accent1"/>
        </w:rPr>
      </w:pPr>
      <w:r w:rsidRPr="005470F1">
        <w:rPr>
          <w:color w:val="4F81BD" w:themeColor="accent1"/>
        </w:rPr>
        <w:t xml:space="preserve">Paraphrase the use of the word </w:t>
      </w:r>
      <w:r w:rsidRPr="005470F1">
        <w:rPr>
          <w:i/>
          <w:color w:val="4F81BD" w:themeColor="accent1"/>
        </w:rPr>
        <w:t>whereas</w:t>
      </w:r>
      <w:r w:rsidRPr="005470F1">
        <w:rPr>
          <w:color w:val="4F81BD" w:themeColor="accent1"/>
        </w:rPr>
        <w:t xml:space="preserve"> in </w:t>
      </w:r>
      <w:r w:rsidR="000E21E2" w:rsidRPr="000E21E2">
        <w:rPr>
          <w:i/>
          <w:color w:val="4F81BD" w:themeColor="accent1"/>
        </w:rPr>
        <w:t>The Universal Declaration of Human Rights</w:t>
      </w:r>
      <w:r w:rsidRPr="005470F1">
        <w:rPr>
          <w:color w:val="4F81BD" w:themeColor="accent1"/>
        </w:rPr>
        <w:t>. What is the cumulative impact of using this word?</w:t>
      </w:r>
    </w:p>
    <w:p w:rsidR="003F5885" w:rsidRDefault="003F5885" w:rsidP="003F5885">
      <w:pPr>
        <w:pStyle w:val="SR"/>
        <w:rPr>
          <w:color w:val="4F81BD" w:themeColor="accent1"/>
        </w:rPr>
      </w:pPr>
      <w:r w:rsidRPr="005470F1">
        <w:rPr>
          <w:color w:val="4F81BD" w:themeColor="accent1"/>
        </w:rPr>
        <w:t xml:space="preserve">In </w:t>
      </w:r>
      <w:r w:rsidR="000E21E2">
        <w:rPr>
          <w:i/>
          <w:color w:val="4F81BD" w:themeColor="accent1"/>
        </w:rPr>
        <w:t>The Universal Declaration of Human Rights</w:t>
      </w:r>
      <w:r w:rsidRPr="005470F1">
        <w:rPr>
          <w:color w:val="4F81BD" w:themeColor="accent1"/>
        </w:rPr>
        <w:t xml:space="preserve">, the word </w:t>
      </w:r>
      <w:r w:rsidRPr="005470F1">
        <w:rPr>
          <w:i/>
          <w:color w:val="4F81BD" w:themeColor="accent1"/>
        </w:rPr>
        <w:t>whereas</w:t>
      </w:r>
      <w:r w:rsidRPr="005470F1">
        <w:rPr>
          <w:color w:val="4F81BD" w:themeColor="accent1"/>
        </w:rPr>
        <w:t xml:space="preserve"> means “considering that.” By repeating it at the beginning of each statement, the </w:t>
      </w:r>
      <w:r w:rsidR="000E21E2">
        <w:rPr>
          <w:i/>
          <w:color w:val="4F81BD" w:themeColor="accent1"/>
        </w:rPr>
        <w:t>Declaration</w:t>
      </w:r>
      <w:r w:rsidRPr="005470F1">
        <w:rPr>
          <w:color w:val="4F81BD" w:themeColor="accent1"/>
        </w:rPr>
        <w:t xml:space="preserve"> emphasizes that all of these statements are true.</w:t>
      </w:r>
    </w:p>
    <w:p w:rsidR="007C7BB7" w:rsidRDefault="007C7BB7" w:rsidP="00A92E6A">
      <w:pPr>
        <w:pStyle w:val="Q"/>
      </w:pPr>
      <w:r>
        <w:t xml:space="preserve">What </w:t>
      </w:r>
      <w:r w:rsidR="00A92E6A">
        <w:t>have</w:t>
      </w:r>
      <w:r>
        <w:t xml:space="preserve"> Member States </w:t>
      </w:r>
      <w:r w:rsidR="00A92E6A">
        <w:t>pledged</w:t>
      </w:r>
      <w:r w:rsidR="002D2AFD">
        <w:t xml:space="preserve"> in paragraph 6</w:t>
      </w:r>
      <w:r w:rsidR="00A92E6A">
        <w:t>? How does this pledge support an idea developed throughout the preamble?</w:t>
      </w:r>
    </w:p>
    <w:p w:rsidR="00A92E6A" w:rsidRDefault="00A92E6A" w:rsidP="00A92E6A">
      <w:pPr>
        <w:pStyle w:val="SR"/>
      </w:pPr>
      <w:r>
        <w:t>Member States have pledged to “achieve</w:t>
      </w:r>
      <w:r w:rsidR="003E6289">
        <w:t xml:space="preserve"> . . . </w:t>
      </w:r>
      <w:r w:rsidRPr="00A92E6A">
        <w:t>the promotion of universal respect for and observance of human rights and fundamental freedoms</w:t>
      </w:r>
      <w:r>
        <w:t>”</w:t>
      </w:r>
      <w:r w:rsidR="00A11040">
        <w:t xml:space="preserve"> (par. 6).</w:t>
      </w:r>
      <w:r>
        <w:t xml:space="preserve"> This supports the idea that all people have “inalienable” rights and freedoms.</w:t>
      </w:r>
    </w:p>
    <w:p w:rsidR="00A92E6A" w:rsidRDefault="00A92E6A" w:rsidP="00A92E6A">
      <w:pPr>
        <w:pStyle w:val="IN"/>
      </w:pPr>
      <w:r>
        <w:t xml:space="preserve">Consider </w:t>
      </w:r>
      <w:r w:rsidR="00C16107">
        <w:t xml:space="preserve">informing </w:t>
      </w:r>
      <w:r>
        <w:t xml:space="preserve">students that </w:t>
      </w:r>
      <w:r w:rsidR="00D66591">
        <w:t xml:space="preserve">Member States, in this context, </w:t>
      </w:r>
      <w:r>
        <w:t>means countries.</w:t>
      </w:r>
    </w:p>
    <w:p w:rsidR="00A92E6A" w:rsidRDefault="00485500" w:rsidP="00485500">
      <w:pPr>
        <w:pStyle w:val="Q"/>
      </w:pPr>
      <w:r>
        <w:t>What is of the “greatest importance” for realizing the pledge</w:t>
      </w:r>
      <w:r w:rsidR="002D2AFD">
        <w:t xml:space="preserve"> (par</w:t>
      </w:r>
      <w:r w:rsidR="00D66591">
        <w:t>.</w:t>
      </w:r>
      <w:r w:rsidR="002D2AFD">
        <w:t xml:space="preserve"> 7)</w:t>
      </w:r>
      <w:r>
        <w:t xml:space="preserve">? </w:t>
      </w:r>
    </w:p>
    <w:p w:rsidR="00485500" w:rsidRDefault="00485500" w:rsidP="00485500">
      <w:pPr>
        <w:pStyle w:val="SR"/>
      </w:pPr>
      <w:r>
        <w:t>The “greatest importance</w:t>
      </w:r>
      <w:r w:rsidR="00D66591">
        <w:t>”</w:t>
      </w:r>
      <w:r>
        <w:t xml:space="preserve"> is that people have a “common understanding” of the rights and freedoms described in </w:t>
      </w:r>
      <w:r w:rsidR="00583354" w:rsidRPr="007D3D67">
        <w:rPr>
          <w:i/>
        </w:rPr>
        <w:t>The Universal</w:t>
      </w:r>
      <w:r>
        <w:rPr>
          <w:i/>
        </w:rPr>
        <w:t xml:space="preserve"> Declaration of Human Rights</w:t>
      </w:r>
      <w:r w:rsidR="00436B5D">
        <w:rPr>
          <w:i/>
        </w:rPr>
        <w:t xml:space="preserve"> </w:t>
      </w:r>
      <w:r w:rsidR="00436B5D">
        <w:t>(par</w:t>
      </w:r>
      <w:r w:rsidR="00A11040">
        <w:t>.</w:t>
      </w:r>
      <w:r w:rsidR="00436B5D">
        <w:t xml:space="preserve"> 7)</w:t>
      </w:r>
      <w:r>
        <w:t>.</w:t>
      </w:r>
    </w:p>
    <w:p w:rsidR="00F57E28" w:rsidRDefault="00862A94" w:rsidP="00F57E28">
      <w:pPr>
        <w:pStyle w:val="Q"/>
      </w:pPr>
      <w:r>
        <w:t>How does</w:t>
      </w:r>
      <w:r w:rsidR="00FD7F47">
        <w:t xml:space="preserve"> the General Assembly</w:t>
      </w:r>
      <w:r>
        <w:t xml:space="preserve"> describe </w:t>
      </w:r>
      <w:r w:rsidR="00583354">
        <w:rPr>
          <w:i/>
        </w:rPr>
        <w:t>The Universal</w:t>
      </w:r>
      <w:r w:rsidRPr="00862A94">
        <w:rPr>
          <w:i/>
        </w:rPr>
        <w:t xml:space="preserve"> </w:t>
      </w:r>
      <w:r w:rsidR="00965E21" w:rsidRPr="00862A94">
        <w:rPr>
          <w:i/>
        </w:rPr>
        <w:t>D</w:t>
      </w:r>
      <w:r w:rsidR="00F57E28" w:rsidRPr="00862A94">
        <w:rPr>
          <w:i/>
        </w:rPr>
        <w:t>eclaration</w:t>
      </w:r>
      <w:r w:rsidRPr="00862A94">
        <w:rPr>
          <w:i/>
        </w:rPr>
        <w:t xml:space="preserve"> of Human Rights</w:t>
      </w:r>
      <w:r w:rsidR="00436B5D">
        <w:rPr>
          <w:i/>
        </w:rPr>
        <w:t xml:space="preserve"> </w:t>
      </w:r>
      <w:r w:rsidR="00436B5D">
        <w:t>in paragraph 8</w:t>
      </w:r>
      <w:r w:rsidR="00F57E28">
        <w:t xml:space="preserve">? </w:t>
      </w:r>
      <w:r w:rsidR="00FD7F47">
        <w:t xml:space="preserve">How does the General Assembly hope people will use the </w:t>
      </w:r>
      <w:r w:rsidR="006E69D5">
        <w:t>UDHR</w:t>
      </w:r>
      <w:r w:rsidR="00FD7F47">
        <w:t>?</w:t>
      </w:r>
    </w:p>
    <w:p w:rsidR="00A70328" w:rsidRDefault="00A70328" w:rsidP="00A70328">
      <w:pPr>
        <w:pStyle w:val="SR"/>
      </w:pPr>
      <w:r>
        <w:t xml:space="preserve">The General Assembly describes </w:t>
      </w:r>
      <w:r w:rsidR="000E21E2">
        <w:rPr>
          <w:i/>
        </w:rPr>
        <w:t>The Universal Declaration of Human Rights</w:t>
      </w:r>
      <w:r>
        <w:t xml:space="preserve"> as “a common standard of achievem</w:t>
      </w:r>
      <w:r w:rsidR="00A11040">
        <w:t>ent for all peoples and nations</w:t>
      </w:r>
      <w:r>
        <w:t>”</w:t>
      </w:r>
      <w:r w:rsidR="00A11040">
        <w:t xml:space="preserve"> (par. 8).</w:t>
      </w:r>
      <w:r>
        <w:t xml:space="preserve"> They hope people will “keep the declaration in mind” as they “promote respect for these rights and freedoms” and “secure [the] universal and effective recognition and observance” of rights and freedoms</w:t>
      </w:r>
      <w:r w:rsidR="00A11040">
        <w:t xml:space="preserve"> (par. 8)</w:t>
      </w:r>
      <w:r>
        <w:t>.</w:t>
      </w:r>
    </w:p>
    <w:p w:rsidR="00C61C07" w:rsidRDefault="00C61C07" w:rsidP="00C61C07">
      <w:pPr>
        <w:pStyle w:val="TA"/>
      </w:pPr>
      <w:r>
        <w:t>Lead a brief whole-class discussion of student responses.</w:t>
      </w:r>
    </w:p>
    <w:p w:rsidR="00C61C07" w:rsidRDefault="00C61C07" w:rsidP="00C61C07">
      <w:pPr>
        <w:pStyle w:val="LearningSequenceHeader"/>
      </w:pPr>
      <w:r>
        <w:lastRenderedPageBreak/>
        <w:t>Activity 5</w:t>
      </w:r>
      <w:r w:rsidRPr="00707670">
        <w:t xml:space="preserve">: </w:t>
      </w:r>
      <w:r w:rsidR="00A11040">
        <w:t>Jigsaw</w:t>
      </w:r>
      <w:r>
        <w:t xml:space="preserve"> Discussion</w:t>
      </w:r>
      <w:r w:rsidRPr="00707670">
        <w:tab/>
      </w:r>
      <w:r>
        <w:t>20</w:t>
      </w:r>
      <w:r w:rsidRPr="00707670">
        <w:t>%</w:t>
      </w:r>
    </w:p>
    <w:p w:rsidR="00C54B84" w:rsidRDefault="00C54B84" w:rsidP="00AE79A2">
      <w:pPr>
        <w:pStyle w:val="TA"/>
      </w:pPr>
      <w:r>
        <w:t xml:space="preserve">Instruct student pairs to read </w:t>
      </w:r>
      <w:r w:rsidR="006F09DE">
        <w:t>A</w:t>
      </w:r>
      <w:r>
        <w:t>rticles 1–10 (from “All Human Beings are born free and equal in dignity and rights” to “his rights and obligations and of any criminal charges against him”)</w:t>
      </w:r>
      <w:r w:rsidR="00355ECD">
        <w:t>.</w:t>
      </w:r>
    </w:p>
    <w:p w:rsidR="00355ECD" w:rsidRDefault="006F09DE" w:rsidP="00AE79A2">
      <w:pPr>
        <w:pStyle w:val="TA"/>
      </w:pPr>
      <w:r>
        <w:t>Instruct students to complete the Articles 1</w:t>
      </w:r>
      <w:r>
        <w:softHyphen/>
        <w:t xml:space="preserve">–10 Jigsaw Tool. Assign each student pair one set of articles </w:t>
      </w:r>
      <w:r w:rsidR="00BB5C9B">
        <w:t xml:space="preserve">to read, </w:t>
      </w:r>
      <w:r>
        <w:t xml:space="preserve">and complete the corresponding section of the tool (Articles 1–3, Articles 4–6, and Articles 7–10). </w:t>
      </w:r>
    </w:p>
    <w:p w:rsidR="006F09DE" w:rsidRDefault="005F6E8F" w:rsidP="000D71CC">
      <w:pPr>
        <w:pStyle w:val="SA"/>
      </w:pPr>
      <w:r>
        <w:t>Each student pair completes one section of the Jigsaw Tool.</w:t>
      </w:r>
    </w:p>
    <w:p w:rsidR="005F6E8F" w:rsidRDefault="005F6E8F" w:rsidP="000D71CC">
      <w:pPr>
        <w:pStyle w:val="IN"/>
      </w:pPr>
      <w:r>
        <w:t xml:space="preserve">If any </w:t>
      </w:r>
      <w:r w:rsidRPr="005F6E8F">
        <w:t>student pairs finish their</w:t>
      </w:r>
      <w:r>
        <w:t xml:space="preserve"> section of the tool early, </w:t>
      </w:r>
      <w:r w:rsidR="000E21E2">
        <w:t>instruct</w:t>
      </w:r>
      <w:r>
        <w:t xml:space="preserve"> them to continue working on another section of the tool.</w:t>
      </w:r>
    </w:p>
    <w:p w:rsidR="00D020C1" w:rsidRDefault="003E3848">
      <w:pPr>
        <w:pStyle w:val="SR"/>
        <w:numPr>
          <w:ilvl w:val="0"/>
          <w:numId w:val="0"/>
        </w:numPr>
      </w:pPr>
      <w:r>
        <w:t xml:space="preserve">Lead a brief whole-class discussion of the Articles 1–10 Jigsaw Tool. Ask pairs who studied the same articles to </w:t>
      </w:r>
      <w:r w:rsidR="00D020C1">
        <w:t>make contributions to the discussion that build on and do not just repeat what other pairs have said.</w:t>
      </w:r>
      <w:r w:rsidR="00E76570">
        <w:t xml:space="preserve"> Instruct students to take notes on their tools, especially when the articles they did not study are discussed.</w:t>
      </w:r>
    </w:p>
    <w:p w:rsidR="00C61C07" w:rsidRDefault="00C61C07" w:rsidP="00C61C07">
      <w:pPr>
        <w:pStyle w:val="SR"/>
      </w:pPr>
      <w:r>
        <w:t xml:space="preserve">See </w:t>
      </w:r>
      <w:r w:rsidRPr="000D71CC">
        <w:t>Model</w:t>
      </w:r>
      <w:r>
        <w:t xml:space="preserve"> Articles 1–10 Jigsaw Tool for sample student responses.</w:t>
      </w:r>
    </w:p>
    <w:p w:rsidR="003E3848" w:rsidRDefault="00D020C1" w:rsidP="00D020C1">
      <w:pPr>
        <w:pStyle w:val="IN"/>
      </w:pPr>
      <w:r>
        <w:t xml:space="preserve">Consider reminding students of the expectations established in standard SL.9-10.1.a-e as they discuss the Jigsaw Tool. </w:t>
      </w:r>
    </w:p>
    <w:p w:rsidR="00973FB2" w:rsidRDefault="00973FB2" w:rsidP="00973FB2">
      <w:pPr>
        <w:pStyle w:val="IN"/>
      </w:pPr>
      <w:r>
        <w:t xml:space="preserve">Remind students to keep a copy of their Articles 1–10 Jigsaw Tool </w:t>
      </w:r>
      <w:r w:rsidR="00BB5C9B">
        <w:t>for reference</w:t>
      </w:r>
      <w:r>
        <w:t xml:space="preserve"> as they work on this lesson’s homework.</w:t>
      </w:r>
    </w:p>
    <w:p w:rsidR="00707670" w:rsidRDefault="00707670" w:rsidP="00707670">
      <w:pPr>
        <w:pStyle w:val="LearningSequenceHeader"/>
      </w:pPr>
      <w:r>
        <w:t xml:space="preserve">Activity </w:t>
      </w:r>
      <w:r w:rsidR="00C61C07">
        <w:t>6</w:t>
      </w:r>
      <w:r w:rsidRPr="00707670">
        <w:t xml:space="preserve">: </w:t>
      </w:r>
      <w:r w:rsidR="00413334">
        <w:t>Quick Write</w:t>
      </w:r>
      <w:r w:rsidRPr="00707670">
        <w:tab/>
      </w:r>
      <w:r w:rsidR="00413334">
        <w:t>15</w:t>
      </w:r>
      <w:r w:rsidRPr="00707670">
        <w:t>%</w:t>
      </w:r>
    </w:p>
    <w:p w:rsidR="009A2B88" w:rsidRDefault="009A2B88" w:rsidP="009A2B88">
      <w:pPr>
        <w:pStyle w:val="TA"/>
      </w:pPr>
      <w:r>
        <w:t>Instruct students to respond briefly in writing to the following prompt:</w:t>
      </w:r>
    </w:p>
    <w:p w:rsidR="009A2B88" w:rsidRDefault="00B338A8" w:rsidP="009A2B88">
      <w:pPr>
        <w:pStyle w:val="Q"/>
      </w:pPr>
      <w:r w:rsidRPr="00B338A8">
        <w:t>How do the Articles develop and refine the ideas expressed in the Preamble?</w:t>
      </w:r>
    </w:p>
    <w:p w:rsidR="00DE2A4C" w:rsidRDefault="00DE2A4C" w:rsidP="00DE2A4C">
      <w:r w:rsidRPr="0070064F">
        <w:t xml:space="preserve">Instruct students to look at their annotations </w:t>
      </w:r>
      <w:r w:rsidR="004258FF">
        <w:t xml:space="preserve">and tools </w:t>
      </w:r>
      <w:r w:rsidRPr="0070064F">
        <w:t xml:space="preserve">to find evidence. </w:t>
      </w:r>
      <w:r w:rsidRPr="004258FF">
        <w:rPr>
          <w:bCs/>
        </w:rPr>
        <w:t>Ask students to use this lesson’s vocabulary wherever possible in their written responses.</w:t>
      </w:r>
      <w:r w:rsidRPr="0070064F">
        <w:rPr>
          <w:b/>
          <w:bCs/>
        </w:rPr>
        <w:t xml:space="preserve"> </w:t>
      </w:r>
      <w:r w:rsidRPr="0070064F">
        <w:t xml:space="preserve">Remind students to use the Short Response </w:t>
      </w:r>
      <w:r w:rsidR="00E04CA1" w:rsidRPr="0070064F">
        <w:t xml:space="preserve">Rubric </w:t>
      </w:r>
      <w:r w:rsidRPr="0070064F">
        <w:t xml:space="preserve">and </w:t>
      </w:r>
      <w:r w:rsidR="00E04CA1" w:rsidRPr="0070064F">
        <w:t xml:space="preserve">Checklist </w:t>
      </w:r>
      <w:r w:rsidRPr="0070064F">
        <w:t>to gu</w:t>
      </w:r>
      <w:r>
        <w:t xml:space="preserve">ide their written responses. </w:t>
      </w:r>
    </w:p>
    <w:p w:rsidR="009A2B88" w:rsidRDefault="009A2B88" w:rsidP="009A2B88">
      <w:pPr>
        <w:pStyle w:val="SA"/>
      </w:pPr>
      <w:r>
        <w:t>Students listen and read the Quick Write prompt.</w:t>
      </w:r>
    </w:p>
    <w:p w:rsidR="009A2B88" w:rsidRDefault="009A2B88" w:rsidP="009A2B88">
      <w:pPr>
        <w:pStyle w:val="IN"/>
      </w:pPr>
      <w:r>
        <w:t>Display the</w:t>
      </w:r>
      <w:r w:rsidRPr="002C38DB">
        <w:t xml:space="preserve"> prompt for students to see</w:t>
      </w:r>
      <w:r>
        <w:t>, or provide the prompt in</w:t>
      </w:r>
      <w:r w:rsidRPr="002C38DB">
        <w:t xml:space="preserve"> hard copy</w:t>
      </w:r>
      <w:r>
        <w:t>.</w:t>
      </w:r>
    </w:p>
    <w:p w:rsidR="009A2B88" w:rsidRDefault="009A2B88" w:rsidP="009A2B88">
      <w:pPr>
        <w:pStyle w:val="TA"/>
        <w:rPr>
          <w:rFonts w:cs="Cambria"/>
        </w:rPr>
      </w:pPr>
      <w:r>
        <w:rPr>
          <w:rFonts w:cs="Cambria"/>
        </w:rPr>
        <w:t xml:space="preserve">Transition </w:t>
      </w:r>
      <w:r w:rsidR="009D72C8">
        <w:rPr>
          <w:rFonts w:cs="Cambria"/>
        </w:rPr>
        <w:t xml:space="preserve">students </w:t>
      </w:r>
      <w:r>
        <w:rPr>
          <w:rFonts w:cs="Cambria"/>
        </w:rPr>
        <w:t>to the independent Quick Write.</w:t>
      </w:r>
      <w:r w:rsidRPr="000149E8">
        <w:t xml:space="preserve"> </w:t>
      </w:r>
    </w:p>
    <w:p w:rsidR="009A2B88" w:rsidRDefault="009A2B88" w:rsidP="009A2B88">
      <w:pPr>
        <w:pStyle w:val="SA"/>
      </w:pPr>
      <w:r>
        <w:t xml:space="preserve">Students independently answer the prompt, using evidence from the text. </w:t>
      </w:r>
    </w:p>
    <w:p w:rsidR="00707670" w:rsidRPr="00707670" w:rsidRDefault="009A2B88" w:rsidP="00707670">
      <w:pPr>
        <w:pStyle w:val="SR"/>
      </w:pPr>
      <w:r>
        <w:t>See the High Performance Response at the beginning of this lesson.</w:t>
      </w:r>
    </w:p>
    <w:p w:rsidR="009403AD" w:rsidRPr="00563CB8" w:rsidRDefault="00C5015B" w:rsidP="00CE2836">
      <w:pPr>
        <w:pStyle w:val="LearningSequenceHeader"/>
      </w:pPr>
      <w:r>
        <w:lastRenderedPageBreak/>
        <w:t xml:space="preserve">Activity </w:t>
      </w:r>
      <w:r w:rsidR="00C61C07">
        <w:t>7</w:t>
      </w:r>
      <w:r w:rsidR="009403AD" w:rsidRPr="00563CB8">
        <w:t xml:space="preserve">: </w:t>
      </w:r>
      <w:r w:rsidR="009403AD">
        <w:t>Closing</w:t>
      </w:r>
      <w:r w:rsidR="009403AD" w:rsidRPr="00563CB8">
        <w:tab/>
      </w:r>
      <w:r w:rsidR="009403AD">
        <w:t>5</w:t>
      </w:r>
      <w:r w:rsidR="009403AD" w:rsidRPr="00563CB8">
        <w:t>%</w:t>
      </w:r>
    </w:p>
    <w:p w:rsidR="00FB7585" w:rsidRPr="009E74EA" w:rsidRDefault="00A70328" w:rsidP="00643181">
      <w:pPr>
        <w:pStyle w:val="TA"/>
      </w:pPr>
      <w:r>
        <w:t>F</w:t>
      </w:r>
      <w:r w:rsidR="00FB7585" w:rsidRPr="009E74EA">
        <w:t xml:space="preserve">or homework, instruct students to </w:t>
      </w:r>
      <w:r w:rsidR="000A2AE5">
        <w:t xml:space="preserve">use their copies of the Articles 1–10 Jigsaw Tool to </w:t>
      </w:r>
      <w:r w:rsidR="00FB7585" w:rsidRPr="009E74EA">
        <w:t>complete</w:t>
      </w:r>
      <w:r w:rsidR="00E711C5">
        <w:t xml:space="preserve"> an</w:t>
      </w:r>
      <w:r w:rsidR="00FB7585" w:rsidRPr="009E74EA">
        <w:t xml:space="preserve"> </w:t>
      </w:r>
      <w:r w:rsidR="00D55B0F" w:rsidRPr="009E74EA">
        <w:t>Argument Delineation Tool</w:t>
      </w:r>
      <w:r w:rsidR="00E711C5">
        <w:t xml:space="preserve"> for </w:t>
      </w:r>
      <w:r w:rsidR="00E711C5" w:rsidRPr="006E69D5">
        <w:rPr>
          <w:i/>
        </w:rPr>
        <w:t xml:space="preserve">The Universal </w:t>
      </w:r>
      <w:r w:rsidR="00E711C5" w:rsidRPr="009E74EA">
        <w:rPr>
          <w:i/>
        </w:rPr>
        <w:t>Declaration of Human Rights</w:t>
      </w:r>
      <w:r w:rsidR="00D55B0F" w:rsidRPr="009E74EA">
        <w:t xml:space="preserve">. </w:t>
      </w:r>
    </w:p>
    <w:p w:rsidR="008B3D58" w:rsidRDefault="00F8720F">
      <w:pPr>
        <w:pStyle w:val="IN"/>
      </w:pPr>
      <w:r w:rsidRPr="009E74EA">
        <w:t>Because the Argument Delineation Tool requires students to articulate a central claim, consider reminding st</w:t>
      </w:r>
      <w:r w:rsidR="00A5460F">
        <w:t>udents that central claim means</w:t>
      </w:r>
      <w:r w:rsidRPr="009E74EA">
        <w:t xml:space="preserve"> “authors’ or speakers’ main point about an issue in an argument.” </w:t>
      </w:r>
    </w:p>
    <w:p w:rsidR="00A70328" w:rsidRPr="00B03A14" w:rsidRDefault="00A70328" w:rsidP="00B03A14">
      <w:pPr>
        <w:pStyle w:val="IN"/>
      </w:pPr>
      <w:r w:rsidRPr="00A70328">
        <w:rPr>
          <w:b/>
        </w:rPr>
        <w:t>Differentiation Consideration:</w:t>
      </w:r>
      <w:r>
        <w:t xml:space="preserve"> Remind students of their work delineating arguments in 10.2.1. If students struggle, consider demonstrating how to identify the central claim</w:t>
      </w:r>
      <w:r w:rsidR="000E21E2">
        <w:t xml:space="preserve"> </w:t>
      </w:r>
      <w:r>
        <w:t xml:space="preserve">and one of each of the following: a supporting claim, evidence, and reasoning. </w:t>
      </w:r>
      <w:r w:rsidRPr="00B03A14">
        <w:t xml:space="preserve">Use </w:t>
      </w:r>
      <w:r w:rsidR="000E21E2">
        <w:t xml:space="preserve">the </w:t>
      </w:r>
      <w:r w:rsidR="00FE413B">
        <w:t xml:space="preserve">Model </w:t>
      </w:r>
      <w:r w:rsidRPr="00B03A14">
        <w:t>Argument Delineation Tool in 10.2.3 Lesson 2 for sample responses.</w:t>
      </w:r>
    </w:p>
    <w:p w:rsidR="00862A94" w:rsidRDefault="00862A94" w:rsidP="00862A94">
      <w:pPr>
        <w:pStyle w:val="TA"/>
      </w:pPr>
      <w:r>
        <w:rPr>
          <w:szCs w:val="20"/>
          <w:shd w:val="clear" w:color="auto" w:fill="FFFFFF"/>
        </w:rPr>
        <w:t xml:space="preserve">Also, for </w:t>
      </w:r>
      <w:r w:rsidRPr="00E51822">
        <w:rPr>
          <w:szCs w:val="20"/>
          <w:shd w:val="clear" w:color="auto" w:fill="FFFFFF"/>
        </w:rPr>
        <w:t>homework, instruct students</w:t>
      </w:r>
      <w:r>
        <w:rPr>
          <w:szCs w:val="20"/>
          <w:shd w:val="clear" w:color="auto" w:fill="FFFFFF"/>
        </w:rPr>
        <w:t xml:space="preserve"> to conduct th</w:t>
      </w:r>
      <w:r w:rsidR="00A415C6">
        <w:rPr>
          <w:szCs w:val="20"/>
          <w:shd w:val="clear" w:color="auto" w:fill="FFFFFF"/>
        </w:rPr>
        <w:t>e necessary Internet searches</w:t>
      </w:r>
      <w:r w:rsidR="00E711C5">
        <w:rPr>
          <w:szCs w:val="20"/>
          <w:shd w:val="clear" w:color="auto" w:fill="FFFFFF"/>
        </w:rPr>
        <w:t xml:space="preserve"> to research</w:t>
      </w:r>
      <w:r w:rsidR="00A415C6">
        <w:rPr>
          <w:szCs w:val="20"/>
          <w:shd w:val="clear" w:color="auto" w:fill="FFFFFF"/>
        </w:rPr>
        <w:t xml:space="preserve"> and</w:t>
      </w:r>
      <w:r>
        <w:rPr>
          <w:szCs w:val="20"/>
          <w:shd w:val="clear" w:color="auto" w:fill="FFFFFF"/>
        </w:rPr>
        <w:t xml:space="preserve"> write a response to the following prompt:</w:t>
      </w:r>
      <w:r>
        <w:t xml:space="preserve"> </w:t>
      </w:r>
    </w:p>
    <w:p w:rsidR="00862A94" w:rsidRPr="00B11761" w:rsidRDefault="00862A94" w:rsidP="00862A94">
      <w:pPr>
        <w:rPr>
          <w:b/>
        </w:rPr>
      </w:pPr>
      <w:r w:rsidRPr="00EE1215">
        <w:rPr>
          <w:b/>
        </w:rPr>
        <w:t xml:space="preserve">Who was Eleanor Roosevelt? How </w:t>
      </w:r>
      <w:r>
        <w:rPr>
          <w:b/>
        </w:rPr>
        <w:t>is</w:t>
      </w:r>
      <w:r w:rsidRPr="00EE1215">
        <w:rPr>
          <w:b/>
        </w:rPr>
        <w:t xml:space="preserve"> Eleanor Roosevelt’</w:t>
      </w:r>
      <w:r w:rsidR="00E711C5">
        <w:rPr>
          <w:b/>
        </w:rPr>
        <w:t xml:space="preserve">s life and work connected to </w:t>
      </w:r>
      <w:r w:rsidR="00E711C5">
        <w:rPr>
          <w:b/>
          <w:i/>
        </w:rPr>
        <w:t>The Universal Declaration of Human Rights</w:t>
      </w:r>
      <w:r w:rsidRPr="00EE1215">
        <w:rPr>
          <w:b/>
        </w:rPr>
        <w:t xml:space="preserve">? </w:t>
      </w:r>
    </w:p>
    <w:p w:rsidR="00C92BC6" w:rsidRPr="00E711C5" w:rsidRDefault="00C92BC6" w:rsidP="00C92BC6">
      <w:pPr>
        <w:pStyle w:val="IN"/>
      </w:pPr>
      <w:r w:rsidRPr="003B28AE">
        <w:t>Encourage students to utilize media and print resources at school, home, and/or public libraries to facilitate their searches.</w:t>
      </w:r>
    </w:p>
    <w:p w:rsidR="00C4787C" w:rsidRDefault="00C4787C" w:rsidP="00643181">
      <w:pPr>
        <w:pStyle w:val="Heading1"/>
      </w:pPr>
      <w:r>
        <w:t>Homework</w:t>
      </w:r>
    </w:p>
    <w:p w:rsidR="00862A94" w:rsidRDefault="00862A94" w:rsidP="00D55B0F">
      <w:r>
        <w:t>U</w:t>
      </w:r>
      <w:r w:rsidR="00BC52C6">
        <w:t xml:space="preserve">se your copy of the Articles 1–10 Jigsaw Tool to </w:t>
      </w:r>
      <w:r w:rsidR="004846C5" w:rsidRPr="009E74EA">
        <w:t xml:space="preserve">complete an Argument Delineation Tool to delineate the argument of </w:t>
      </w:r>
      <w:r w:rsidR="00583354" w:rsidRPr="006E69D5">
        <w:rPr>
          <w:i/>
        </w:rPr>
        <w:t>The Universal</w:t>
      </w:r>
      <w:r w:rsidR="004846C5" w:rsidRPr="00A70328">
        <w:rPr>
          <w:i/>
        </w:rPr>
        <w:t xml:space="preserve"> Declaration of Human Rights</w:t>
      </w:r>
      <w:r w:rsidR="004846C5" w:rsidRPr="009E74EA">
        <w:t>.</w:t>
      </w:r>
    </w:p>
    <w:p w:rsidR="00862A94" w:rsidRDefault="00862A94" w:rsidP="00862A94">
      <w:r>
        <w:rPr>
          <w:shd w:val="clear" w:color="auto" w:fill="FFFFFF"/>
        </w:rPr>
        <w:t xml:space="preserve">Conduct the necessary </w:t>
      </w:r>
      <w:r w:rsidR="00A415C6">
        <w:rPr>
          <w:shd w:val="clear" w:color="auto" w:fill="FFFFFF"/>
        </w:rPr>
        <w:t>Internet searches</w:t>
      </w:r>
      <w:r>
        <w:rPr>
          <w:shd w:val="clear" w:color="auto" w:fill="FFFFFF"/>
        </w:rPr>
        <w:t xml:space="preserve"> </w:t>
      </w:r>
      <w:r w:rsidR="00A415C6">
        <w:rPr>
          <w:shd w:val="clear" w:color="auto" w:fill="FFFFFF"/>
        </w:rPr>
        <w:t xml:space="preserve">and </w:t>
      </w:r>
      <w:r>
        <w:rPr>
          <w:shd w:val="clear" w:color="auto" w:fill="FFFFFF"/>
        </w:rPr>
        <w:t>write a response to the following prompt:</w:t>
      </w:r>
      <w:r>
        <w:t xml:space="preserve"> </w:t>
      </w:r>
    </w:p>
    <w:p w:rsidR="00862A94" w:rsidRDefault="00862A94" w:rsidP="00862A94">
      <w:pPr>
        <w:pStyle w:val="Q"/>
      </w:pPr>
      <w:r w:rsidRPr="00B338A8">
        <w:t xml:space="preserve">Who was Eleanor Roosevelt? </w:t>
      </w:r>
      <w:r>
        <w:t xml:space="preserve">How are Eleanor Roosevelt’s life and work connected to </w:t>
      </w:r>
      <w:r w:rsidR="00E711C5">
        <w:rPr>
          <w:i/>
        </w:rPr>
        <w:t>The Universal Declaration of Human Rights</w:t>
      </w:r>
      <w:r>
        <w:t xml:space="preserve">? </w:t>
      </w:r>
    </w:p>
    <w:p w:rsidR="00D7072E" w:rsidRPr="00B32089" w:rsidRDefault="00D7072E" w:rsidP="00B32089">
      <w:pPr>
        <w:pStyle w:val="Heading1"/>
      </w:pPr>
      <w:r>
        <w:br w:type="page"/>
      </w:r>
      <w:r>
        <w:lastRenderedPageBreak/>
        <w:t>Articles 1</w:t>
      </w:r>
      <w:r w:rsidR="00643181">
        <w:t>–</w:t>
      </w:r>
      <w:r>
        <w:t>10 Jigsaw Tool</w:t>
      </w:r>
    </w:p>
    <w:tbl>
      <w:tblPr>
        <w:tblStyle w:val="TableGrid"/>
        <w:tblW w:w="0" w:type="auto"/>
        <w:tblLook w:val="04A0"/>
      </w:tblPr>
      <w:tblGrid>
        <w:gridCol w:w="820"/>
        <w:gridCol w:w="2786"/>
        <w:gridCol w:w="732"/>
        <w:gridCol w:w="3045"/>
        <w:gridCol w:w="720"/>
        <w:gridCol w:w="1373"/>
      </w:tblGrid>
      <w:tr w:rsidR="00D7072E" w:rsidRPr="00707670">
        <w:trPr>
          <w:trHeight w:val="377"/>
        </w:trPr>
        <w:tc>
          <w:tcPr>
            <w:tcW w:w="816" w:type="dxa"/>
            <w:shd w:val="clear" w:color="auto" w:fill="D9D9D9" w:themeFill="background1" w:themeFillShade="D9"/>
            <w:vAlign w:val="center"/>
          </w:tcPr>
          <w:p w:rsidR="00D7072E" w:rsidRPr="00707670" w:rsidRDefault="00D7072E" w:rsidP="00D7072E">
            <w:pPr>
              <w:pStyle w:val="TableText"/>
              <w:rPr>
                <w:b/>
              </w:rPr>
            </w:pPr>
            <w:r w:rsidRPr="00707670">
              <w:rPr>
                <w:b/>
              </w:rPr>
              <w:t>Name:</w:t>
            </w:r>
          </w:p>
        </w:tc>
        <w:tc>
          <w:tcPr>
            <w:tcW w:w="2786" w:type="dxa"/>
            <w:vAlign w:val="center"/>
          </w:tcPr>
          <w:p w:rsidR="00D7072E" w:rsidRPr="00707670" w:rsidRDefault="00D7072E" w:rsidP="00D7072E">
            <w:pPr>
              <w:pStyle w:val="TableText"/>
              <w:rPr>
                <w:b/>
              </w:rPr>
            </w:pPr>
          </w:p>
        </w:tc>
        <w:tc>
          <w:tcPr>
            <w:tcW w:w="728" w:type="dxa"/>
            <w:shd w:val="clear" w:color="auto" w:fill="D9D9D9" w:themeFill="background1" w:themeFillShade="D9"/>
            <w:vAlign w:val="center"/>
          </w:tcPr>
          <w:p w:rsidR="00D7072E" w:rsidRPr="00707670" w:rsidRDefault="00D7072E" w:rsidP="00D7072E">
            <w:pPr>
              <w:pStyle w:val="TableText"/>
              <w:rPr>
                <w:b/>
              </w:rPr>
            </w:pPr>
            <w:r w:rsidRPr="00707670">
              <w:rPr>
                <w:b/>
              </w:rPr>
              <w:t>Class:</w:t>
            </w:r>
          </w:p>
        </w:tc>
        <w:tc>
          <w:tcPr>
            <w:tcW w:w="3045" w:type="dxa"/>
            <w:vAlign w:val="center"/>
          </w:tcPr>
          <w:p w:rsidR="00D7072E" w:rsidRPr="00707670" w:rsidRDefault="00D7072E" w:rsidP="00D7072E">
            <w:pPr>
              <w:pStyle w:val="TableText"/>
              <w:rPr>
                <w:b/>
              </w:rPr>
            </w:pPr>
          </w:p>
        </w:tc>
        <w:tc>
          <w:tcPr>
            <w:tcW w:w="720" w:type="dxa"/>
            <w:shd w:val="clear" w:color="auto" w:fill="D9D9D9" w:themeFill="background1" w:themeFillShade="D9"/>
            <w:vAlign w:val="center"/>
          </w:tcPr>
          <w:p w:rsidR="00D7072E" w:rsidRPr="00707670" w:rsidRDefault="00D7072E" w:rsidP="00D7072E">
            <w:pPr>
              <w:pStyle w:val="TableText"/>
              <w:rPr>
                <w:b/>
              </w:rPr>
            </w:pPr>
            <w:r w:rsidRPr="00707670">
              <w:rPr>
                <w:b/>
              </w:rPr>
              <w:t>Date:</w:t>
            </w:r>
          </w:p>
        </w:tc>
        <w:tc>
          <w:tcPr>
            <w:tcW w:w="1373" w:type="dxa"/>
            <w:vAlign w:val="center"/>
          </w:tcPr>
          <w:p w:rsidR="00D7072E" w:rsidRPr="00707670" w:rsidRDefault="00D7072E" w:rsidP="00D7072E">
            <w:pPr>
              <w:pStyle w:val="TableText"/>
              <w:rPr>
                <w:b/>
              </w:rPr>
            </w:pPr>
          </w:p>
        </w:tc>
      </w:tr>
    </w:tbl>
    <w:p w:rsidR="00E15C5B" w:rsidRDefault="00E15C5B" w:rsidP="00D7072E">
      <w:pPr>
        <w:spacing w:before="0" w:after="0"/>
        <w:rPr>
          <w:sz w:val="10"/>
        </w:rPr>
      </w:pPr>
    </w:p>
    <w:tbl>
      <w:tblPr>
        <w:tblStyle w:val="TableGrid"/>
        <w:tblW w:w="0" w:type="auto"/>
        <w:tblLook w:val="04A0"/>
      </w:tblPr>
      <w:tblGrid>
        <w:gridCol w:w="9468"/>
      </w:tblGrid>
      <w:tr w:rsidR="001270B6" w:rsidRPr="00707670" w:rsidTr="00370743">
        <w:trPr>
          <w:trHeight w:val="377"/>
        </w:trPr>
        <w:tc>
          <w:tcPr>
            <w:tcW w:w="9468" w:type="dxa"/>
            <w:shd w:val="clear" w:color="auto" w:fill="D9D9D9" w:themeFill="background1" w:themeFillShade="D9"/>
            <w:vAlign w:val="center"/>
          </w:tcPr>
          <w:p w:rsidR="001270B6" w:rsidRPr="001270B6" w:rsidRDefault="001270B6" w:rsidP="00036A2A">
            <w:pPr>
              <w:pStyle w:val="TableText"/>
              <w:rPr>
                <w:b/>
              </w:rPr>
            </w:pPr>
            <w:r>
              <w:rPr>
                <w:b/>
              </w:rPr>
              <w:t xml:space="preserve">Directions: </w:t>
            </w:r>
            <w:r w:rsidRPr="001270B6">
              <w:t>Read either articles 1–3, 4–7, or 8–10 and complete the corresponding section of the tool. Summarize each article’s claim. Then write about how the article develops or refines an idea about human rights or freedom.</w:t>
            </w:r>
          </w:p>
        </w:tc>
      </w:tr>
    </w:tbl>
    <w:p w:rsidR="00E15C5B" w:rsidRPr="00646088" w:rsidRDefault="00E15C5B" w:rsidP="00D7072E">
      <w:pPr>
        <w:spacing w:before="0" w:after="0"/>
        <w:rPr>
          <w:sz w:val="10"/>
        </w:rPr>
      </w:pPr>
    </w:p>
    <w:tbl>
      <w:tblPr>
        <w:tblStyle w:val="TableGrid"/>
        <w:tblW w:w="9468" w:type="dxa"/>
        <w:tblLook w:val="04A0"/>
      </w:tblPr>
      <w:tblGrid>
        <w:gridCol w:w="918"/>
        <w:gridCol w:w="3510"/>
        <w:gridCol w:w="5040"/>
      </w:tblGrid>
      <w:tr w:rsidR="00D7072E" w:rsidRPr="00646088" w:rsidTr="00370743">
        <w:tc>
          <w:tcPr>
            <w:tcW w:w="9468" w:type="dxa"/>
            <w:gridSpan w:val="3"/>
            <w:shd w:val="clear" w:color="auto" w:fill="D9D9D9" w:themeFill="background1" w:themeFillShade="D9"/>
            <w:vAlign w:val="bottom"/>
          </w:tcPr>
          <w:p w:rsidR="00D7072E" w:rsidRPr="00646088" w:rsidRDefault="00F302E7" w:rsidP="00890CBF">
            <w:pPr>
              <w:pStyle w:val="ToolTableText"/>
              <w:rPr>
                <w:b/>
              </w:rPr>
            </w:pPr>
            <w:r>
              <w:rPr>
                <w:b/>
              </w:rPr>
              <w:t>Article</w:t>
            </w:r>
            <w:r w:rsidR="00355ECD">
              <w:rPr>
                <w:b/>
              </w:rPr>
              <w:t>s</w:t>
            </w:r>
            <w:r w:rsidR="00D7072E">
              <w:rPr>
                <w:b/>
              </w:rPr>
              <w:t xml:space="preserve"> 1</w:t>
            </w:r>
            <w:r w:rsidR="00643181">
              <w:rPr>
                <w:b/>
              </w:rPr>
              <w:t>–</w:t>
            </w:r>
            <w:r w:rsidR="00355ECD">
              <w:rPr>
                <w:b/>
              </w:rPr>
              <w:t>3</w:t>
            </w:r>
          </w:p>
        </w:tc>
      </w:tr>
      <w:tr w:rsidR="00355ECD" w:rsidTr="00370743">
        <w:trPr>
          <w:trHeight w:val="432"/>
        </w:trPr>
        <w:tc>
          <w:tcPr>
            <w:tcW w:w="918" w:type="dxa"/>
            <w:shd w:val="clear" w:color="auto" w:fill="D9D9D9" w:themeFill="background1" w:themeFillShade="D9"/>
          </w:tcPr>
          <w:p w:rsidR="00355ECD" w:rsidRPr="00355ECD" w:rsidRDefault="00355ECD" w:rsidP="00FE413B">
            <w:pPr>
              <w:pStyle w:val="Q"/>
            </w:pPr>
            <w:r w:rsidRPr="00355ECD">
              <w:t>Article</w:t>
            </w:r>
          </w:p>
        </w:tc>
        <w:tc>
          <w:tcPr>
            <w:tcW w:w="3510" w:type="dxa"/>
            <w:shd w:val="clear" w:color="auto" w:fill="D9D9D9" w:themeFill="background1" w:themeFillShade="D9"/>
          </w:tcPr>
          <w:p w:rsidR="00355ECD" w:rsidRPr="00355ECD" w:rsidRDefault="005F6E8F" w:rsidP="00FE413B">
            <w:pPr>
              <w:pStyle w:val="Q"/>
            </w:pPr>
            <w:r>
              <w:t xml:space="preserve">Summarize the </w:t>
            </w:r>
            <w:r w:rsidR="00355ECD" w:rsidRPr="00355ECD">
              <w:t>article</w:t>
            </w:r>
            <w:r>
              <w:t>’s</w:t>
            </w:r>
            <w:r w:rsidR="00355ECD" w:rsidRPr="00355ECD">
              <w:t xml:space="preserve"> claim</w:t>
            </w:r>
            <w:r w:rsidR="00622980">
              <w:t>.</w:t>
            </w:r>
          </w:p>
        </w:tc>
        <w:tc>
          <w:tcPr>
            <w:tcW w:w="5040" w:type="dxa"/>
            <w:shd w:val="clear" w:color="auto" w:fill="D9D9D9" w:themeFill="background1" w:themeFillShade="D9"/>
          </w:tcPr>
          <w:p w:rsidR="00355ECD" w:rsidRPr="00355ECD" w:rsidRDefault="00355ECD" w:rsidP="00FE413B">
            <w:pPr>
              <w:pStyle w:val="SR"/>
              <w:numPr>
                <w:ilvl w:val="0"/>
                <w:numId w:val="0"/>
              </w:numPr>
              <w:ind w:left="72"/>
              <w:rPr>
                <w:b/>
              </w:rPr>
            </w:pPr>
            <w:r w:rsidRPr="00355ECD">
              <w:rPr>
                <w:b/>
              </w:rPr>
              <w:t>How does the article develop or refine an idea about human rights or freedoms?</w:t>
            </w:r>
          </w:p>
        </w:tc>
      </w:tr>
      <w:tr w:rsidR="00355ECD" w:rsidTr="00370743">
        <w:trPr>
          <w:trHeight w:val="720"/>
        </w:trPr>
        <w:tc>
          <w:tcPr>
            <w:tcW w:w="918" w:type="dxa"/>
          </w:tcPr>
          <w:p w:rsidR="00355ECD" w:rsidRPr="00643181" w:rsidRDefault="00355ECD" w:rsidP="00485500">
            <w:pPr>
              <w:pStyle w:val="Q"/>
            </w:pPr>
            <w:r w:rsidRPr="00643181">
              <w:t>1</w:t>
            </w:r>
          </w:p>
        </w:tc>
        <w:tc>
          <w:tcPr>
            <w:tcW w:w="3510" w:type="dxa"/>
          </w:tcPr>
          <w:p w:rsidR="00355ECD" w:rsidRPr="00485500" w:rsidRDefault="00355ECD" w:rsidP="005F6E8F">
            <w:pPr>
              <w:pStyle w:val="Q"/>
              <w:rPr>
                <w:b w:val="0"/>
              </w:rPr>
            </w:pPr>
          </w:p>
        </w:tc>
        <w:tc>
          <w:tcPr>
            <w:tcW w:w="5040" w:type="dxa"/>
          </w:tcPr>
          <w:p w:rsidR="00355ECD" w:rsidRPr="00FC71BF" w:rsidRDefault="00355ECD" w:rsidP="00D7072E">
            <w:pPr>
              <w:pStyle w:val="SR"/>
              <w:numPr>
                <w:ilvl w:val="0"/>
                <w:numId w:val="0"/>
              </w:numPr>
              <w:ind w:left="72"/>
            </w:pPr>
          </w:p>
        </w:tc>
      </w:tr>
      <w:tr w:rsidR="00355ECD" w:rsidRPr="00FC71BF" w:rsidTr="00370743">
        <w:trPr>
          <w:trHeight w:val="720"/>
        </w:trPr>
        <w:tc>
          <w:tcPr>
            <w:tcW w:w="918" w:type="dxa"/>
          </w:tcPr>
          <w:p w:rsidR="00355ECD" w:rsidRPr="00643181" w:rsidRDefault="00355ECD" w:rsidP="00485500">
            <w:pPr>
              <w:pStyle w:val="Q"/>
            </w:pPr>
            <w:r w:rsidRPr="00643181">
              <w:t>2</w:t>
            </w:r>
          </w:p>
        </w:tc>
        <w:tc>
          <w:tcPr>
            <w:tcW w:w="3510" w:type="dxa"/>
          </w:tcPr>
          <w:p w:rsidR="00355ECD" w:rsidRPr="00485500" w:rsidRDefault="00355ECD" w:rsidP="00485500">
            <w:pPr>
              <w:pStyle w:val="Q"/>
              <w:rPr>
                <w:b w:val="0"/>
              </w:rPr>
            </w:pPr>
          </w:p>
        </w:tc>
        <w:tc>
          <w:tcPr>
            <w:tcW w:w="5040" w:type="dxa"/>
          </w:tcPr>
          <w:p w:rsidR="00355ECD" w:rsidRPr="00FC71BF" w:rsidRDefault="00355ECD" w:rsidP="00F302E7">
            <w:pPr>
              <w:pStyle w:val="SR"/>
              <w:numPr>
                <w:ilvl w:val="0"/>
                <w:numId w:val="0"/>
              </w:numPr>
              <w:ind w:left="72"/>
            </w:pPr>
          </w:p>
        </w:tc>
      </w:tr>
      <w:tr w:rsidR="00355ECD" w:rsidRPr="00FC71BF" w:rsidTr="00370743">
        <w:trPr>
          <w:trHeight w:val="720"/>
        </w:trPr>
        <w:tc>
          <w:tcPr>
            <w:tcW w:w="918" w:type="dxa"/>
          </w:tcPr>
          <w:p w:rsidR="00355ECD" w:rsidRPr="00643181" w:rsidRDefault="00355ECD" w:rsidP="00485500">
            <w:pPr>
              <w:pStyle w:val="Q"/>
            </w:pPr>
            <w:r w:rsidRPr="00643181">
              <w:t>3</w:t>
            </w:r>
          </w:p>
        </w:tc>
        <w:tc>
          <w:tcPr>
            <w:tcW w:w="3510" w:type="dxa"/>
          </w:tcPr>
          <w:p w:rsidR="00355ECD" w:rsidRPr="00485500" w:rsidRDefault="00355ECD" w:rsidP="00485500">
            <w:pPr>
              <w:pStyle w:val="Q"/>
              <w:rPr>
                <w:b w:val="0"/>
              </w:rPr>
            </w:pPr>
          </w:p>
        </w:tc>
        <w:tc>
          <w:tcPr>
            <w:tcW w:w="5040" w:type="dxa"/>
          </w:tcPr>
          <w:p w:rsidR="00355ECD" w:rsidRPr="00FC71BF" w:rsidRDefault="00355ECD" w:rsidP="00F302E7">
            <w:pPr>
              <w:pStyle w:val="SR"/>
              <w:numPr>
                <w:ilvl w:val="0"/>
                <w:numId w:val="0"/>
              </w:numPr>
              <w:ind w:left="72"/>
            </w:pPr>
          </w:p>
        </w:tc>
      </w:tr>
      <w:tr w:rsidR="00355ECD" w:rsidRPr="00646088" w:rsidTr="00370743">
        <w:tc>
          <w:tcPr>
            <w:tcW w:w="9468" w:type="dxa"/>
            <w:gridSpan w:val="3"/>
            <w:shd w:val="clear" w:color="auto" w:fill="D9D9D9" w:themeFill="background1" w:themeFillShade="D9"/>
            <w:vAlign w:val="bottom"/>
          </w:tcPr>
          <w:p w:rsidR="00355ECD" w:rsidRPr="00646088" w:rsidRDefault="00643181" w:rsidP="00643181">
            <w:pPr>
              <w:pStyle w:val="ToolTableText"/>
              <w:rPr>
                <w:b/>
              </w:rPr>
            </w:pPr>
            <w:r>
              <w:rPr>
                <w:b/>
              </w:rPr>
              <w:t>Article 4–</w:t>
            </w:r>
            <w:r w:rsidR="00355ECD">
              <w:rPr>
                <w:b/>
              </w:rPr>
              <w:t>7</w:t>
            </w:r>
          </w:p>
        </w:tc>
      </w:tr>
      <w:tr w:rsidR="00355ECD" w:rsidRPr="00FC71BF" w:rsidTr="00370743">
        <w:tc>
          <w:tcPr>
            <w:tcW w:w="918" w:type="dxa"/>
            <w:shd w:val="clear" w:color="auto" w:fill="D9D9D9" w:themeFill="background1" w:themeFillShade="D9"/>
          </w:tcPr>
          <w:p w:rsidR="00355ECD" w:rsidRPr="00FC71BF" w:rsidRDefault="00355ECD" w:rsidP="00FE413B">
            <w:pPr>
              <w:pStyle w:val="Q"/>
            </w:pPr>
            <w:r>
              <w:t>Article</w:t>
            </w:r>
          </w:p>
        </w:tc>
        <w:tc>
          <w:tcPr>
            <w:tcW w:w="3510" w:type="dxa"/>
            <w:shd w:val="clear" w:color="auto" w:fill="D9D9D9" w:themeFill="background1" w:themeFillShade="D9"/>
          </w:tcPr>
          <w:p w:rsidR="00355ECD" w:rsidRPr="00FC71BF" w:rsidRDefault="005F6E8F" w:rsidP="00FE413B">
            <w:pPr>
              <w:pStyle w:val="Q"/>
            </w:pPr>
            <w:r>
              <w:t xml:space="preserve">Summarize the </w:t>
            </w:r>
            <w:r w:rsidRPr="00355ECD">
              <w:t>article</w:t>
            </w:r>
            <w:r>
              <w:t>’s</w:t>
            </w:r>
            <w:r w:rsidRPr="00355ECD">
              <w:t xml:space="preserve"> claim</w:t>
            </w:r>
            <w:r w:rsidR="00BC52C6">
              <w:t>.</w:t>
            </w:r>
          </w:p>
        </w:tc>
        <w:tc>
          <w:tcPr>
            <w:tcW w:w="5040" w:type="dxa"/>
            <w:shd w:val="clear" w:color="auto" w:fill="D9D9D9" w:themeFill="background1" w:themeFillShade="D9"/>
          </w:tcPr>
          <w:p w:rsidR="00355ECD" w:rsidRPr="00355ECD" w:rsidRDefault="00355ECD" w:rsidP="00FE413B">
            <w:pPr>
              <w:pStyle w:val="SR"/>
              <w:numPr>
                <w:ilvl w:val="0"/>
                <w:numId w:val="0"/>
              </w:numPr>
              <w:ind w:left="72"/>
              <w:rPr>
                <w:b/>
              </w:rPr>
            </w:pPr>
            <w:r w:rsidRPr="00355ECD">
              <w:rPr>
                <w:b/>
              </w:rPr>
              <w:t>How does the article develop or refine an idea about human rights or freedoms?</w:t>
            </w:r>
          </w:p>
        </w:tc>
      </w:tr>
      <w:tr w:rsidR="00355ECD" w:rsidRPr="00FC71BF" w:rsidTr="00370743">
        <w:trPr>
          <w:trHeight w:val="720"/>
        </w:trPr>
        <w:tc>
          <w:tcPr>
            <w:tcW w:w="918" w:type="dxa"/>
          </w:tcPr>
          <w:p w:rsidR="00355ECD" w:rsidRPr="00FC71BF" w:rsidRDefault="00355ECD" w:rsidP="00F302E7">
            <w:pPr>
              <w:pStyle w:val="Q"/>
            </w:pPr>
            <w:r>
              <w:t>4</w:t>
            </w:r>
          </w:p>
        </w:tc>
        <w:tc>
          <w:tcPr>
            <w:tcW w:w="3510" w:type="dxa"/>
          </w:tcPr>
          <w:p w:rsidR="00355ECD" w:rsidRPr="00FC71BF" w:rsidRDefault="00355ECD" w:rsidP="00F302E7">
            <w:pPr>
              <w:pStyle w:val="Q"/>
            </w:pPr>
          </w:p>
        </w:tc>
        <w:tc>
          <w:tcPr>
            <w:tcW w:w="5040" w:type="dxa"/>
          </w:tcPr>
          <w:p w:rsidR="00355ECD" w:rsidRPr="00FC71BF" w:rsidRDefault="00355ECD" w:rsidP="00F302E7">
            <w:pPr>
              <w:pStyle w:val="SR"/>
              <w:numPr>
                <w:ilvl w:val="0"/>
                <w:numId w:val="0"/>
              </w:numPr>
              <w:ind w:left="72"/>
            </w:pPr>
          </w:p>
        </w:tc>
      </w:tr>
      <w:tr w:rsidR="00355ECD" w:rsidRPr="00FC71BF" w:rsidTr="00370743">
        <w:trPr>
          <w:trHeight w:val="720"/>
        </w:trPr>
        <w:tc>
          <w:tcPr>
            <w:tcW w:w="918" w:type="dxa"/>
          </w:tcPr>
          <w:p w:rsidR="00355ECD" w:rsidRPr="00FC71BF" w:rsidRDefault="00355ECD" w:rsidP="00F302E7">
            <w:pPr>
              <w:pStyle w:val="Q"/>
            </w:pPr>
            <w:r>
              <w:t>5</w:t>
            </w:r>
          </w:p>
        </w:tc>
        <w:tc>
          <w:tcPr>
            <w:tcW w:w="3510" w:type="dxa"/>
          </w:tcPr>
          <w:p w:rsidR="00355ECD" w:rsidRPr="00FC71BF" w:rsidRDefault="00355ECD" w:rsidP="00F302E7">
            <w:pPr>
              <w:pStyle w:val="Q"/>
            </w:pPr>
          </w:p>
        </w:tc>
        <w:tc>
          <w:tcPr>
            <w:tcW w:w="5040" w:type="dxa"/>
          </w:tcPr>
          <w:p w:rsidR="00355ECD" w:rsidRPr="00FC71BF" w:rsidRDefault="00355ECD" w:rsidP="00F302E7">
            <w:pPr>
              <w:pStyle w:val="SR"/>
              <w:numPr>
                <w:ilvl w:val="0"/>
                <w:numId w:val="0"/>
              </w:numPr>
              <w:ind w:left="72"/>
            </w:pPr>
          </w:p>
        </w:tc>
      </w:tr>
      <w:tr w:rsidR="00355ECD" w:rsidRPr="00FC71BF" w:rsidTr="00370743">
        <w:trPr>
          <w:trHeight w:val="720"/>
        </w:trPr>
        <w:tc>
          <w:tcPr>
            <w:tcW w:w="918" w:type="dxa"/>
          </w:tcPr>
          <w:p w:rsidR="00355ECD" w:rsidRPr="00FC71BF" w:rsidRDefault="00355ECD" w:rsidP="00F302E7">
            <w:pPr>
              <w:pStyle w:val="Q"/>
            </w:pPr>
            <w:r>
              <w:t>6</w:t>
            </w:r>
          </w:p>
        </w:tc>
        <w:tc>
          <w:tcPr>
            <w:tcW w:w="3510" w:type="dxa"/>
          </w:tcPr>
          <w:p w:rsidR="00355ECD" w:rsidRPr="00FC71BF" w:rsidRDefault="00355ECD" w:rsidP="00F302E7">
            <w:pPr>
              <w:pStyle w:val="Q"/>
            </w:pPr>
          </w:p>
        </w:tc>
        <w:tc>
          <w:tcPr>
            <w:tcW w:w="5040" w:type="dxa"/>
          </w:tcPr>
          <w:p w:rsidR="00355ECD" w:rsidRPr="00FC71BF" w:rsidRDefault="00355ECD" w:rsidP="00F302E7">
            <w:pPr>
              <w:pStyle w:val="SR"/>
              <w:numPr>
                <w:ilvl w:val="0"/>
                <w:numId w:val="0"/>
              </w:numPr>
              <w:ind w:left="72"/>
            </w:pPr>
          </w:p>
        </w:tc>
      </w:tr>
      <w:tr w:rsidR="00355ECD" w:rsidRPr="00FC71BF" w:rsidTr="00370743">
        <w:trPr>
          <w:trHeight w:val="720"/>
        </w:trPr>
        <w:tc>
          <w:tcPr>
            <w:tcW w:w="918" w:type="dxa"/>
          </w:tcPr>
          <w:p w:rsidR="00355ECD" w:rsidRPr="00FC71BF" w:rsidRDefault="00355ECD" w:rsidP="00F302E7">
            <w:pPr>
              <w:pStyle w:val="Q"/>
            </w:pPr>
            <w:r>
              <w:t>7</w:t>
            </w:r>
          </w:p>
        </w:tc>
        <w:tc>
          <w:tcPr>
            <w:tcW w:w="3510" w:type="dxa"/>
          </w:tcPr>
          <w:p w:rsidR="00355ECD" w:rsidRPr="00FC71BF" w:rsidRDefault="00355ECD" w:rsidP="00F302E7">
            <w:pPr>
              <w:pStyle w:val="Q"/>
            </w:pPr>
          </w:p>
        </w:tc>
        <w:tc>
          <w:tcPr>
            <w:tcW w:w="5040" w:type="dxa"/>
          </w:tcPr>
          <w:p w:rsidR="00355ECD" w:rsidRPr="00FC71BF" w:rsidRDefault="00355ECD" w:rsidP="00F302E7">
            <w:pPr>
              <w:pStyle w:val="SR"/>
              <w:numPr>
                <w:ilvl w:val="0"/>
                <w:numId w:val="0"/>
              </w:numPr>
              <w:ind w:left="72"/>
            </w:pPr>
          </w:p>
        </w:tc>
      </w:tr>
    </w:tbl>
    <w:p w:rsidR="00BD3174" w:rsidRDefault="00BD3174">
      <w:r>
        <w:br w:type="page"/>
      </w:r>
    </w:p>
    <w:tbl>
      <w:tblPr>
        <w:tblStyle w:val="TableGrid"/>
        <w:tblW w:w="9558" w:type="dxa"/>
        <w:tblLook w:val="04A0"/>
      </w:tblPr>
      <w:tblGrid>
        <w:gridCol w:w="918"/>
        <w:gridCol w:w="3510"/>
        <w:gridCol w:w="5130"/>
      </w:tblGrid>
      <w:tr w:rsidR="00355ECD" w:rsidRPr="00646088" w:rsidTr="00370743">
        <w:tc>
          <w:tcPr>
            <w:tcW w:w="9558" w:type="dxa"/>
            <w:gridSpan w:val="3"/>
            <w:shd w:val="clear" w:color="auto" w:fill="D9D9D9" w:themeFill="background1" w:themeFillShade="D9"/>
          </w:tcPr>
          <w:p w:rsidR="00355ECD" w:rsidRPr="00646088" w:rsidRDefault="00643181" w:rsidP="00F302E7">
            <w:pPr>
              <w:pStyle w:val="ToolTableText"/>
              <w:rPr>
                <w:b/>
              </w:rPr>
            </w:pPr>
            <w:r>
              <w:rPr>
                <w:b/>
              </w:rPr>
              <w:lastRenderedPageBreak/>
              <w:t>Article 8–10</w:t>
            </w:r>
          </w:p>
        </w:tc>
      </w:tr>
      <w:tr w:rsidR="00355ECD" w:rsidRPr="00FC71BF" w:rsidTr="00370743">
        <w:tc>
          <w:tcPr>
            <w:tcW w:w="918" w:type="dxa"/>
            <w:shd w:val="clear" w:color="auto" w:fill="D9D9D9" w:themeFill="background1" w:themeFillShade="D9"/>
          </w:tcPr>
          <w:p w:rsidR="00355ECD" w:rsidRPr="00FC71BF" w:rsidRDefault="00355ECD" w:rsidP="00FE413B">
            <w:pPr>
              <w:pStyle w:val="Q"/>
            </w:pPr>
            <w:r>
              <w:t>Article</w:t>
            </w:r>
          </w:p>
        </w:tc>
        <w:tc>
          <w:tcPr>
            <w:tcW w:w="3510" w:type="dxa"/>
            <w:shd w:val="clear" w:color="auto" w:fill="D9D9D9" w:themeFill="background1" w:themeFillShade="D9"/>
          </w:tcPr>
          <w:p w:rsidR="00355ECD" w:rsidRPr="00FC71BF" w:rsidRDefault="005F6E8F" w:rsidP="00FE413B">
            <w:pPr>
              <w:pStyle w:val="Q"/>
            </w:pPr>
            <w:r>
              <w:t xml:space="preserve">Summarize the </w:t>
            </w:r>
            <w:r w:rsidRPr="00355ECD">
              <w:t>article</w:t>
            </w:r>
            <w:r>
              <w:t>’s</w:t>
            </w:r>
            <w:r w:rsidRPr="00355ECD">
              <w:t xml:space="preserve"> claim</w:t>
            </w:r>
            <w:r w:rsidR="00C902D2">
              <w:t>.</w:t>
            </w:r>
          </w:p>
        </w:tc>
        <w:tc>
          <w:tcPr>
            <w:tcW w:w="5130" w:type="dxa"/>
            <w:shd w:val="clear" w:color="auto" w:fill="D9D9D9" w:themeFill="background1" w:themeFillShade="D9"/>
          </w:tcPr>
          <w:p w:rsidR="00355ECD" w:rsidRPr="00355ECD" w:rsidRDefault="00355ECD" w:rsidP="00FE413B">
            <w:pPr>
              <w:pStyle w:val="SR"/>
              <w:numPr>
                <w:ilvl w:val="0"/>
                <w:numId w:val="0"/>
              </w:numPr>
              <w:ind w:left="72"/>
              <w:rPr>
                <w:b/>
              </w:rPr>
            </w:pPr>
            <w:r w:rsidRPr="00355ECD">
              <w:rPr>
                <w:b/>
              </w:rPr>
              <w:t>How does the article develop or refine an idea about human rights or freedoms?</w:t>
            </w:r>
          </w:p>
        </w:tc>
      </w:tr>
      <w:tr w:rsidR="00355ECD" w:rsidRPr="00FC71BF" w:rsidTr="00370743">
        <w:trPr>
          <w:trHeight w:val="720"/>
        </w:trPr>
        <w:tc>
          <w:tcPr>
            <w:tcW w:w="918" w:type="dxa"/>
          </w:tcPr>
          <w:p w:rsidR="00355ECD" w:rsidRPr="00FC71BF" w:rsidRDefault="00355ECD" w:rsidP="00F302E7">
            <w:pPr>
              <w:pStyle w:val="Q"/>
            </w:pPr>
            <w:r>
              <w:t>8</w:t>
            </w:r>
          </w:p>
        </w:tc>
        <w:tc>
          <w:tcPr>
            <w:tcW w:w="3510" w:type="dxa"/>
          </w:tcPr>
          <w:p w:rsidR="00355ECD" w:rsidRPr="00FC71BF" w:rsidRDefault="00355ECD" w:rsidP="00F302E7">
            <w:pPr>
              <w:pStyle w:val="Q"/>
            </w:pPr>
          </w:p>
        </w:tc>
        <w:tc>
          <w:tcPr>
            <w:tcW w:w="5130" w:type="dxa"/>
          </w:tcPr>
          <w:p w:rsidR="00355ECD" w:rsidRPr="00FC71BF" w:rsidRDefault="00355ECD" w:rsidP="00F302E7">
            <w:pPr>
              <w:pStyle w:val="SR"/>
              <w:numPr>
                <w:ilvl w:val="0"/>
                <w:numId w:val="0"/>
              </w:numPr>
              <w:ind w:left="72"/>
            </w:pPr>
          </w:p>
        </w:tc>
      </w:tr>
      <w:tr w:rsidR="00355ECD" w:rsidRPr="00FC71BF" w:rsidTr="00370743">
        <w:trPr>
          <w:trHeight w:val="720"/>
        </w:trPr>
        <w:tc>
          <w:tcPr>
            <w:tcW w:w="918" w:type="dxa"/>
          </w:tcPr>
          <w:p w:rsidR="00355ECD" w:rsidRPr="00FC71BF" w:rsidRDefault="00355ECD" w:rsidP="00F302E7">
            <w:pPr>
              <w:pStyle w:val="Q"/>
            </w:pPr>
            <w:r>
              <w:t>9</w:t>
            </w:r>
          </w:p>
        </w:tc>
        <w:tc>
          <w:tcPr>
            <w:tcW w:w="3510" w:type="dxa"/>
          </w:tcPr>
          <w:p w:rsidR="00355ECD" w:rsidRPr="00FC71BF" w:rsidRDefault="00355ECD" w:rsidP="00F302E7">
            <w:pPr>
              <w:pStyle w:val="Q"/>
            </w:pPr>
          </w:p>
        </w:tc>
        <w:tc>
          <w:tcPr>
            <w:tcW w:w="5130" w:type="dxa"/>
          </w:tcPr>
          <w:p w:rsidR="00355ECD" w:rsidRPr="00FC71BF" w:rsidRDefault="00355ECD" w:rsidP="00F302E7">
            <w:pPr>
              <w:pStyle w:val="SR"/>
              <w:numPr>
                <w:ilvl w:val="0"/>
                <w:numId w:val="0"/>
              </w:numPr>
              <w:ind w:left="72"/>
            </w:pPr>
          </w:p>
        </w:tc>
      </w:tr>
      <w:tr w:rsidR="00355ECD" w:rsidRPr="00FC71BF" w:rsidTr="00370743">
        <w:trPr>
          <w:trHeight w:val="720"/>
        </w:trPr>
        <w:tc>
          <w:tcPr>
            <w:tcW w:w="918" w:type="dxa"/>
          </w:tcPr>
          <w:p w:rsidR="00355ECD" w:rsidRPr="00FC71BF" w:rsidRDefault="00355ECD" w:rsidP="00F302E7">
            <w:pPr>
              <w:pStyle w:val="Q"/>
            </w:pPr>
            <w:r>
              <w:t>10</w:t>
            </w:r>
          </w:p>
        </w:tc>
        <w:tc>
          <w:tcPr>
            <w:tcW w:w="3510" w:type="dxa"/>
          </w:tcPr>
          <w:p w:rsidR="00355ECD" w:rsidRPr="00FC71BF" w:rsidRDefault="00355ECD" w:rsidP="00F302E7">
            <w:pPr>
              <w:pStyle w:val="Q"/>
            </w:pPr>
          </w:p>
        </w:tc>
        <w:tc>
          <w:tcPr>
            <w:tcW w:w="5130" w:type="dxa"/>
          </w:tcPr>
          <w:p w:rsidR="00355ECD" w:rsidRPr="00FC71BF" w:rsidRDefault="00355ECD" w:rsidP="00F302E7">
            <w:pPr>
              <w:pStyle w:val="SR"/>
              <w:numPr>
                <w:ilvl w:val="0"/>
                <w:numId w:val="0"/>
              </w:numPr>
              <w:ind w:left="72"/>
            </w:pPr>
          </w:p>
        </w:tc>
      </w:tr>
    </w:tbl>
    <w:p w:rsidR="00133D81" w:rsidRDefault="00133D81" w:rsidP="005F6E8F">
      <w:pPr>
        <w:pStyle w:val="ToolHeader"/>
      </w:pPr>
    </w:p>
    <w:p w:rsidR="005F6E8F" w:rsidRPr="00133D81" w:rsidRDefault="00133D81" w:rsidP="00133D81">
      <w:pPr>
        <w:pStyle w:val="ToolHeader"/>
      </w:pPr>
      <w:r>
        <w:br w:type="page"/>
      </w:r>
      <w:r w:rsidR="002E02E5">
        <w:lastRenderedPageBreak/>
        <w:t>Model Articles 1–</w:t>
      </w:r>
      <w:r w:rsidR="005F6E8F">
        <w:t>10 Jigsaw Tool</w:t>
      </w:r>
    </w:p>
    <w:tbl>
      <w:tblPr>
        <w:tblStyle w:val="TableGrid"/>
        <w:tblW w:w="0" w:type="auto"/>
        <w:tblLook w:val="04A0"/>
      </w:tblPr>
      <w:tblGrid>
        <w:gridCol w:w="820"/>
        <w:gridCol w:w="2786"/>
        <w:gridCol w:w="732"/>
        <w:gridCol w:w="3045"/>
        <w:gridCol w:w="720"/>
        <w:gridCol w:w="1373"/>
      </w:tblGrid>
      <w:tr w:rsidR="005F6E8F" w:rsidRPr="00707670">
        <w:trPr>
          <w:trHeight w:val="377"/>
        </w:trPr>
        <w:tc>
          <w:tcPr>
            <w:tcW w:w="816" w:type="dxa"/>
            <w:shd w:val="clear" w:color="auto" w:fill="D9D9D9" w:themeFill="background1" w:themeFillShade="D9"/>
            <w:vAlign w:val="center"/>
          </w:tcPr>
          <w:p w:rsidR="008B3D58" w:rsidRPr="00862A94" w:rsidRDefault="005F6E8F" w:rsidP="00862A94">
            <w:pPr>
              <w:pStyle w:val="ToolTableText"/>
              <w:rPr>
                <w:b/>
              </w:rPr>
            </w:pPr>
            <w:r w:rsidRPr="00862A94">
              <w:rPr>
                <w:b/>
              </w:rPr>
              <w:t>Name:</w:t>
            </w:r>
          </w:p>
        </w:tc>
        <w:tc>
          <w:tcPr>
            <w:tcW w:w="2786" w:type="dxa"/>
            <w:vAlign w:val="center"/>
          </w:tcPr>
          <w:p w:rsidR="008B3D58" w:rsidRPr="00862A94" w:rsidRDefault="008B3D58" w:rsidP="00862A94">
            <w:pPr>
              <w:pStyle w:val="ToolTableText"/>
              <w:rPr>
                <w:b/>
              </w:rPr>
            </w:pPr>
          </w:p>
        </w:tc>
        <w:tc>
          <w:tcPr>
            <w:tcW w:w="728" w:type="dxa"/>
            <w:shd w:val="clear" w:color="auto" w:fill="D9D9D9" w:themeFill="background1" w:themeFillShade="D9"/>
            <w:vAlign w:val="center"/>
          </w:tcPr>
          <w:p w:rsidR="008B3D58" w:rsidRPr="00862A94" w:rsidRDefault="005F6E8F" w:rsidP="00862A94">
            <w:pPr>
              <w:pStyle w:val="ToolTableText"/>
              <w:rPr>
                <w:b/>
              </w:rPr>
            </w:pPr>
            <w:r w:rsidRPr="00862A94">
              <w:rPr>
                <w:b/>
              </w:rPr>
              <w:t>Class:</w:t>
            </w:r>
          </w:p>
        </w:tc>
        <w:tc>
          <w:tcPr>
            <w:tcW w:w="3045" w:type="dxa"/>
            <w:vAlign w:val="center"/>
          </w:tcPr>
          <w:p w:rsidR="008B3D58" w:rsidRPr="00862A94" w:rsidRDefault="008B3D58" w:rsidP="00862A94">
            <w:pPr>
              <w:pStyle w:val="ToolTableText"/>
              <w:rPr>
                <w:b/>
              </w:rPr>
            </w:pPr>
          </w:p>
        </w:tc>
        <w:tc>
          <w:tcPr>
            <w:tcW w:w="720" w:type="dxa"/>
            <w:shd w:val="clear" w:color="auto" w:fill="D9D9D9" w:themeFill="background1" w:themeFillShade="D9"/>
            <w:vAlign w:val="center"/>
          </w:tcPr>
          <w:p w:rsidR="008B3D58" w:rsidRPr="00862A94" w:rsidRDefault="005F6E8F" w:rsidP="00862A94">
            <w:pPr>
              <w:pStyle w:val="ToolTableText"/>
              <w:rPr>
                <w:b/>
              </w:rPr>
            </w:pPr>
            <w:r w:rsidRPr="00862A94">
              <w:rPr>
                <w:b/>
              </w:rPr>
              <w:t>Date:</w:t>
            </w:r>
          </w:p>
        </w:tc>
        <w:tc>
          <w:tcPr>
            <w:tcW w:w="1373" w:type="dxa"/>
            <w:vAlign w:val="center"/>
          </w:tcPr>
          <w:p w:rsidR="008B3D58" w:rsidRDefault="008B3D58" w:rsidP="00862A94">
            <w:pPr>
              <w:pStyle w:val="ToolTableText"/>
            </w:pPr>
          </w:p>
        </w:tc>
      </w:tr>
    </w:tbl>
    <w:p w:rsidR="00133D81" w:rsidRDefault="00133D81" w:rsidP="00862A94">
      <w:pPr>
        <w:pStyle w:val="ToolTableText"/>
        <w:rPr>
          <w:sz w:val="10"/>
        </w:rPr>
      </w:pPr>
    </w:p>
    <w:tbl>
      <w:tblPr>
        <w:tblStyle w:val="TableGrid"/>
        <w:tblW w:w="9476" w:type="dxa"/>
        <w:tblLook w:val="04A0"/>
      </w:tblPr>
      <w:tblGrid>
        <w:gridCol w:w="9476"/>
      </w:tblGrid>
      <w:tr w:rsidR="00133D81" w:rsidRPr="00707670">
        <w:trPr>
          <w:trHeight w:val="377"/>
        </w:trPr>
        <w:tc>
          <w:tcPr>
            <w:tcW w:w="9476" w:type="dxa"/>
            <w:shd w:val="clear" w:color="auto" w:fill="D9D9D9" w:themeFill="background1" w:themeFillShade="D9"/>
            <w:vAlign w:val="center"/>
          </w:tcPr>
          <w:p w:rsidR="00133D81" w:rsidRPr="001270B6" w:rsidRDefault="00133D81" w:rsidP="00036A2A">
            <w:pPr>
              <w:pStyle w:val="TableText"/>
              <w:rPr>
                <w:b/>
              </w:rPr>
            </w:pPr>
            <w:r>
              <w:rPr>
                <w:b/>
              </w:rPr>
              <w:t xml:space="preserve">Directions: </w:t>
            </w:r>
            <w:r w:rsidRPr="001270B6">
              <w:t>Read either articles 1–3, 4–7, or 8–10 and complete the corresponding section of the tool. Summarize each article’s claim. Then write about how the article develops or refines an idea about human rights or freedom.</w:t>
            </w:r>
          </w:p>
        </w:tc>
      </w:tr>
    </w:tbl>
    <w:p w:rsidR="008B3D58" w:rsidRDefault="008B3D58" w:rsidP="00862A94">
      <w:pPr>
        <w:pStyle w:val="ToolTableText"/>
        <w:rPr>
          <w:sz w:val="10"/>
        </w:rPr>
      </w:pPr>
    </w:p>
    <w:tbl>
      <w:tblPr>
        <w:tblStyle w:val="TableGrid"/>
        <w:tblW w:w="9648" w:type="dxa"/>
        <w:tblLook w:val="04A0"/>
      </w:tblPr>
      <w:tblGrid>
        <w:gridCol w:w="918"/>
        <w:gridCol w:w="3510"/>
        <w:gridCol w:w="5220"/>
      </w:tblGrid>
      <w:tr w:rsidR="005F6E8F" w:rsidRPr="00646088">
        <w:tc>
          <w:tcPr>
            <w:tcW w:w="9648" w:type="dxa"/>
            <w:gridSpan w:val="3"/>
            <w:shd w:val="clear" w:color="auto" w:fill="D9D9D9" w:themeFill="background1" w:themeFillShade="D9"/>
          </w:tcPr>
          <w:p w:rsidR="005F6E8F" w:rsidRPr="00862A94" w:rsidRDefault="005F6E8F" w:rsidP="00643181">
            <w:pPr>
              <w:pStyle w:val="ToolTableText"/>
              <w:tabs>
                <w:tab w:val="center" w:pos="4320"/>
                <w:tab w:val="right" w:pos="8640"/>
              </w:tabs>
              <w:spacing w:line="276" w:lineRule="auto"/>
              <w:rPr>
                <w:b/>
              </w:rPr>
            </w:pPr>
            <w:r w:rsidRPr="00862A94">
              <w:rPr>
                <w:b/>
              </w:rPr>
              <w:t>Articles 1</w:t>
            </w:r>
            <w:r w:rsidR="00643181">
              <w:rPr>
                <w:b/>
              </w:rPr>
              <w:t>–</w:t>
            </w:r>
            <w:r w:rsidRPr="00862A94">
              <w:rPr>
                <w:b/>
              </w:rPr>
              <w:t>3</w:t>
            </w:r>
          </w:p>
        </w:tc>
      </w:tr>
      <w:tr w:rsidR="005F6E8F" w:rsidTr="00BD3174">
        <w:trPr>
          <w:trHeight w:val="467"/>
        </w:trPr>
        <w:tc>
          <w:tcPr>
            <w:tcW w:w="918" w:type="dxa"/>
            <w:shd w:val="clear" w:color="auto" w:fill="D9D9D9" w:themeFill="background1" w:themeFillShade="D9"/>
            <w:vAlign w:val="center"/>
          </w:tcPr>
          <w:p w:rsidR="008B3D58" w:rsidRPr="00862A94" w:rsidRDefault="005F6E8F" w:rsidP="00FE413B">
            <w:pPr>
              <w:pStyle w:val="ToolTableText"/>
              <w:rPr>
                <w:b/>
              </w:rPr>
            </w:pPr>
            <w:r w:rsidRPr="00862A94">
              <w:rPr>
                <w:b/>
              </w:rPr>
              <w:t>Article</w:t>
            </w:r>
          </w:p>
        </w:tc>
        <w:tc>
          <w:tcPr>
            <w:tcW w:w="3510" w:type="dxa"/>
            <w:shd w:val="clear" w:color="auto" w:fill="D9D9D9" w:themeFill="background1" w:themeFillShade="D9"/>
            <w:vAlign w:val="center"/>
          </w:tcPr>
          <w:p w:rsidR="008B3D58" w:rsidRPr="00862A94" w:rsidRDefault="005F6E8F" w:rsidP="00FE413B">
            <w:pPr>
              <w:pStyle w:val="ToolTableText"/>
              <w:rPr>
                <w:b/>
              </w:rPr>
            </w:pPr>
            <w:r w:rsidRPr="00862A94">
              <w:rPr>
                <w:b/>
              </w:rPr>
              <w:t xml:space="preserve">Summarize the </w:t>
            </w:r>
            <w:r w:rsidR="00272F80" w:rsidRPr="00862A94">
              <w:rPr>
                <w:b/>
              </w:rPr>
              <w:t>A</w:t>
            </w:r>
            <w:r w:rsidRPr="00862A94">
              <w:rPr>
                <w:b/>
              </w:rPr>
              <w:t>rticle’s claim</w:t>
            </w:r>
            <w:r w:rsidR="00C902D2" w:rsidRPr="00862A94">
              <w:rPr>
                <w:b/>
              </w:rPr>
              <w:t>.</w:t>
            </w:r>
          </w:p>
        </w:tc>
        <w:tc>
          <w:tcPr>
            <w:tcW w:w="5220" w:type="dxa"/>
            <w:shd w:val="clear" w:color="auto" w:fill="D9D9D9" w:themeFill="background1" w:themeFillShade="D9"/>
            <w:vAlign w:val="center"/>
          </w:tcPr>
          <w:p w:rsidR="008B3D58" w:rsidRPr="00862A94" w:rsidRDefault="00272F80" w:rsidP="00FE413B">
            <w:pPr>
              <w:pStyle w:val="ToolTableText"/>
              <w:rPr>
                <w:b/>
              </w:rPr>
            </w:pPr>
            <w:r w:rsidRPr="00862A94">
              <w:rPr>
                <w:b/>
              </w:rPr>
              <w:t>How does the A</w:t>
            </w:r>
            <w:r w:rsidR="005F6E8F" w:rsidRPr="00862A94">
              <w:rPr>
                <w:b/>
              </w:rPr>
              <w:t>rticle develop or refine an idea about human rights or freedoms?</w:t>
            </w:r>
          </w:p>
        </w:tc>
      </w:tr>
      <w:tr w:rsidR="005F6E8F">
        <w:trPr>
          <w:trHeight w:val="629"/>
        </w:trPr>
        <w:tc>
          <w:tcPr>
            <w:tcW w:w="918" w:type="dxa"/>
          </w:tcPr>
          <w:p w:rsidR="008B3D58" w:rsidRPr="00862A94" w:rsidRDefault="005F6E8F" w:rsidP="00862A94">
            <w:pPr>
              <w:pStyle w:val="ToolTableText"/>
            </w:pPr>
            <w:r w:rsidRPr="00C902D2">
              <w:rPr>
                <w:b/>
              </w:rPr>
              <w:t>1</w:t>
            </w:r>
          </w:p>
        </w:tc>
        <w:tc>
          <w:tcPr>
            <w:tcW w:w="3510" w:type="dxa"/>
          </w:tcPr>
          <w:p w:rsidR="008B3D58" w:rsidRDefault="005F6E8F" w:rsidP="00862A94">
            <w:pPr>
              <w:pStyle w:val="ToolTableText"/>
              <w:rPr>
                <w:rFonts w:ascii="Times New Roman" w:hAnsi="Times New Roman"/>
              </w:rPr>
            </w:pPr>
            <w:r w:rsidRPr="00272F80">
              <w:t>People are born with dignity, rights, intelligence, and a conscience. They should treat each other well.</w:t>
            </w:r>
          </w:p>
        </w:tc>
        <w:tc>
          <w:tcPr>
            <w:tcW w:w="5220" w:type="dxa"/>
          </w:tcPr>
          <w:p w:rsidR="008B3D58" w:rsidRDefault="00272F80" w:rsidP="00862A94">
            <w:pPr>
              <w:pStyle w:val="ToolTableText"/>
              <w:rPr>
                <w:rFonts w:ascii="Times New Roman" w:hAnsi="Times New Roman"/>
              </w:rPr>
            </w:pPr>
            <w:r>
              <w:t>People are “born free an</w:t>
            </w:r>
            <w:r w:rsidR="00BF4B49">
              <w:t>d</w:t>
            </w:r>
            <w:r>
              <w:t xml:space="preserve"> equal.” This supports the idea that people are born with rights that are “inalienable.”</w:t>
            </w:r>
          </w:p>
        </w:tc>
      </w:tr>
      <w:tr w:rsidR="005F6E8F" w:rsidRPr="00FC71BF">
        <w:tc>
          <w:tcPr>
            <w:tcW w:w="918" w:type="dxa"/>
          </w:tcPr>
          <w:p w:rsidR="008B3D58" w:rsidRPr="00862A94" w:rsidRDefault="005F6E8F" w:rsidP="00862A94">
            <w:pPr>
              <w:pStyle w:val="ToolTableText"/>
            </w:pPr>
            <w:r w:rsidRPr="00C902D2">
              <w:rPr>
                <w:b/>
              </w:rPr>
              <w:t>2</w:t>
            </w:r>
          </w:p>
        </w:tc>
        <w:tc>
          <w:tcPr>
            <w:tcW w:w="3510" w:type="dxa"/>
          </w:tcPr>
          <w:p w:rsidR="008B3D58" w:rsidRDefault="005F6E8F" w:rsidP="00A73AFF">
            <w:pPr>
              <w:pStyle w:val="ToolTableText"/>
              <w:rPr>
                <w:rFonts w:ascii="Times New Roman" w:hAnsi="Times New Roman"/>
              </w:rPr>
            </w:pPr>
            <w:r w:rsidRPr="00272F80">
              <w:t xml:space="preserve">Everyone is entitled to the rights and freedoms outlined in </w:t>
            </w:r>
            <w:r w:rsidR="00A73AFF">
              <w:rPr>
                <w:i/>
              </w:rPr>
              <w:t>The Universal Declaration of Human Rights</w:t>
            </w:r>
            <w:r w:rsidRPr="00272F80">
              <w:t>.</w:t>
            </w:r>
            <w:r w:rsidR="00541F24">
              <w:t xml:space="preserve"> People cannot lose their rights because of how they look or what they believe.</w:t>
            </w:r>
          </w:p>
        </w:tc>
        <w:tc>
          <w:tcPr>
            <w:tcW w:w="5220" w:type="dxa"/>
          </w:tcPr>
          <w:p w:rsidR="008B3D58" w:rsidRDefault="00541F24" w:rsidP="00862A94">
            <w:pPr>
              <w:pStyle w:val="ToolTableText"/>
              <w:rPr>
                <w:rFonts w:ascii="Times New Roman" w:hAnsi="Times New Roman"/>
              </w:rPr>
            </w:pPr>
            <w:r>
              <w:t>The Article provides several reasons why people might choose to violate someone’s human rights and then confirms that human rights can never be taken away. This supports the idea that rights are “inalienable.”</w:t>
            </w:r>
          </w:p>
        </w:tc>
      </w:tr>
      <w:tr w:rsidR="005F6E8F" w:rsidRPr="00FC71BF">
        <w:tc>
          <w:tcPr>
            <w:tcW w:w="918" w:type="dxa"/>
          </w:tcPr>
          <w:p w:rsidR="008B3D58" w:rsidRPr="00862A94" w:rsidRDefault="005F6E8F" w:rsidP="00862A94">
            <w:pPr>
              <w:pStyle w:val="ToolTableText"/>
            </w:pPr>
            <w:r w:rsidRPr="00C902D2">
              <w:rPr>
                <w:b/>
              </w:rPr>
              <w:t>3</w:t>
            </w:r>
          </w:p>
        </w:tc>
        <w:tc>
          <w:tcPr>
            <w:tcW w:w="3510" w:type="dxa"/>
          </w:tcPr>
          <w:p w:rsidR="008B3D58" w:rsidRDefault="005F6E8F" w:rsidP="00862A94">
            <w:pPr>
              <w:pStyle w:val="ToolTableText"/>
              <w:rPr>
                <w:rFonts w:ascii="Times New Roman" w:hAnsi="Times New Roman"/>
              </w:rPr>
            </w:pPr>
            <w:r w:rsidRPr="00272F80">
              <w:t>Everyone has a right to life, freedom and “security of person.”</w:t>
            </w:r>
          </w:p>
        </w:tc>
        <w:tc>
          <w:tcPr>
            <w:tcW w:w="5220" w:type="dxa"/>
          </w:tcPr>
          <w:p w:rsidR="008B3D58" w:rsidRDefault="00A73AFF" w:rsidP="00862A94">
            <w:pPr>
              <w:pStyle w:val="ToolTableText"/>
              <w:rPr>
                <w:rFonts w:ascii="Times New Roman" w:hAnsi="Times New Roman"/>
              </w:rPr>
            </w:pPr>
            <w:r>
              <w:rPr>
                <w:i/>
              </w:rPr>
              <w:t>The Universal Declaration of Human Rights</w:t>
            </w:r>
            <w:r>
              <w:t xml:space="preserve"> </w:t>
            </w:r>
            <w:r w:rsidR="00272F80">
              <w:t>states that people have certain rights. This article defines what specific rights people have.</w:t>
            </w:r>
          </w:p>
        </w:tc>
      </w:tr>
      <w:tr w:rsidR="005F6E8F" w:rsidRPr="00646088">
        <w:tc>
          <w:tcPr>
            <w:tcW w:w="9648" w:type="dxa"/>
            <w:gridSpan w:val="3"/>
            <w:shd w:val="clear" w:color="auto" w:fill="D9D9D9" w:themeFill="background1" w:themeFillShade="D9"/>
          </w:tcPr>
          <w:p w:rsidR="005F6E8F" w:rsidRPr="00862A94" w:rsidRDefault="00643181" w:rsidP="0048377F">
            <w:pPr>
              <w:pStyle w:val="ToolTableText"/>
              <w:tabs>
                <w:tab w:val="center" w:pos="4320"/>
                <w:tab w:val="right" w:pos="8640"/>
              </w:tabs>
              <w:spacing w:line="276" w:lineRule="auto"/>
              <w:rPr>
                <w:b/>
              </w:rPr>
            </w:pPr>
            <w:r>
              <w:rPr>
                <w:b/>
              </w:rPr>
              <w:t>Article 4–</w:t>
            </w:r>
            <w:r w:rsidR="005F6E8F" w:rsidRPr="00862A94">
              <w:rPr>
                <w:b/>
              </w:rPr>
              <w:t>7</w:t>
            </w:r>
          </w:p>
        </w:tc>
      </w:tr>
      <w:tr w:rsidR="00C902D2" w:rsidRPr="00FC71BF" w:rsidTr="00BD3174">
        <w:tc>
          <w:tcPr>
            <w:tcW w:w="918" w:type="dxa"/>
            <w:shd w:val="clear" w:color="auto" w:fill="D9D9D9" w:themeFill="background1" w:themeFillShade="D9"/>
            <w:vAlign w:val="center"/>
          </w:tcPr>
          <w:p w:rsidR="00C902D2" w:rsidRPr="00FE5A57" w:rsidRDefault="00C902D2" w:rsidP="00FE413B">
            <w:pPr>
              <w:pStyle w:val="ToolTableText"/>
              <w:rPr>
                <w:b/>
              </w:rPr>
            </w:pPr>
            <w:r w:rsidRPr="00FE5A57">
              <w:rPr>
                <w:b/>
              </w:rPr>
              <w:t>Article</w:t>
            </w:r>
          </w:p>
        </w:tc>
        <w:tc>
          <w:tcPr>
            <w:tcW w:w="3510" w:type="dxa"/>
            <w:shd w:val="clear" w:color="auto" w:fill="D9D9D9" w:themeFill="background1" w:themeFillShade="D9"/>
            <w:vAlign w:val="center"/>
          </w:tcPr>
          <w:p w:rsidR="00C902D2" w:rsidRPr="00FE5A57" w:rsidRDefault="00C902D2" w:rsidP="00FE413B">
            <w:pPr>
              <w:pStyle w:val="ToolTableText"/>
              <w:rPr>
                <w:b/>
              </w:rPr>
            </w:pPr>
            <w:r w:rsidRPr="00FE5A57">
              <w:rPr>
                <w:b/>
              </w:rPr>
              <w:t>Summarize the Article’s claim.</w:t>
            </w:r>
          </w:p>
        </w:tc>
        <w:tc>
          <w:tcPr>
            <w:tcW w:w="5220" w:type="dxa"/>
            <w:shd w:val="clear" w:color="auto" w:fill="D9D9D9" w:themeFill="background1" w:themeFillShade="D9"/>
            <w:vAlign w:val="center"/>
          </w:tcPr>
          <w:p w:rsidR="00C902D2" w:rsidRPr="00FE5A57" w:rsidRDefault="00C902D2" w:rsidP="00FE413B">
            <w:pPr>
              <w:pStyle w:val="ToolTableText"/>
              <w:rPr>
                <w:b/>
              </w:rPr>
            </w:pPr>
            <w:r w:rsidRPr="00FE5A57">
              <w:rPr>
                <w:b/>
              </w:rPr>
              <w:t>How does the Article develop or refine an idea about human rights or freedoms?</w:t>
            </w:r>
          </w:p>
        </w:tc>
      </w:tr>
      <w:tr w:rsidR="00C902D2" w:rsidRPr="00FC71BF">
        <w:tc>
          <w:tcPr>
            <w:tcW w:w="918" w:type="dxa"/>
          </w:tcPr>
          <w:p w:rsidR="00C902D2" w:rsidRPr="00643181" w:rsidRDefault="00C902D2" w:rsidP="00862A94">
            <w:pPr>
              <w:pStyle w:val="ToolTableText"/>
              <w:rPr>
                <w:rFonts w:ascii="Times New Roman" w:hAnsi="Times New Roman"/>
                <w:b/>
              </w:rPr>
            </w:pPr>
            <w:r w:rsidRPr="00643181">
              <w:rPr>
                <w:b/>
              </w:rPr>
              <w:t>4</w:t>
            </w:r>
          </w:p>
        </w:tc>
        <w:tc>
          <w:tcPr>
            <w:tcW w:w="3510" w:type="dxa"/>
          </w:tcPr>
          <w:p w:rsidR="00C902D2" w:rsidRDefault="00C902D2" w:rsidP="00862A94">
            <w:pPr>
              <w:pStyle w:val="ToolTableText"/>
              <w:rPr>
                <w:rFonts w:ascii="Times New Roman" w:hAnsi="Times New Roman"/>
              </w:rPr>
            </w:pPr>
            <w:r w:rsidRPr="005F6E8F">
              <w:t>No person should ever be a slave.</w:t>
            </w:r>
          </w:p>
        </w:tc>
        <w:tc>
          <w:tcPr>
            <w:tcW w:w="5220" w:type="dxa"/>
          </w:tcPr>
          <w:p w:rsidR="00C902D2" w:rsidRDefault="00C902D2" w:rsidP="00862A94">
            <w:pPr>
              <w:pStyle w:val="ToolTableText"/>
              <w:rPr>
                <w:rFonts w:ascii="Times New Roman" w:hAnsi="Times New Roman"/>
              </w:rPr>
            </w:pPr>
            <w:r>
              <w:t>Slavery, in any form, is unacceptable. This supports the idea that people are entitled to “fundamental freedoms.”</w:t>
            </w:r>
          </w:p>
        </w:tc>
      </w:tr>
      <w:tr w:rsidR="00C902D2" w:rsidRPr="00FC71BF">
        <w:tc>
          <w:tcPr>
            <w:tcW w:w="918" w:type="dxa"/>
          </w:tcPr>
          <w:p w:rsidR="00C902D2" w:rsidRPr="00643181" w:rsidRDefault="00C902D2" w:rsidP="00862A94">
            <w:pPr>
              <w:pStyle w:val="ToolTableText"/>
              <w:rPr>
                <w:rFonts w:ascii="Times New Roman" w:hAnsi="Times New Roman"/>
                <w:b/>
              </w:rPr>
            </w:pPr>
            <w:r w:rsidRPr="00643181">
              <w:rPr>
                <w:b/>
              </w:rPr>
              <w:t>5</w:t>
            </w:r>
          </w:p>
        </w:tc>
        <w:tc>
          <w:tcPr>
            <w:tcW w:w="3510" w:type="dxa"/>
          </w:tcPr>
          <w:p w:rsidR="00C902D2" w:rsidRDefault="00C902D2" w:rsidP="00862A94">
            <w:pPr>
              <w:pStyle w:val="ToolTableText"/>
              <w:rPr>
                <w:rFonts w:ascii="Times New Roman" w:hAnsi="Times New Roman"/>
              </w:rPr>
            </w:pPr>
            <w:r>
              <w:t>No person should be subject to torture.</w:t>
            </w:r>
          </w:p>
        </w:tc>
        <w:tc>
          <w:tcPr>
            <w:tcW w:w="5220" w:type="dxa"/>
          </w:tcPr>
          <w:p w:rsidR="00C902D2" w:rsidRDefault="00C902D2" w:rsidP="00862A94">
            <w:pPr>
              <w:pStyle w:val="ToolTableText"/>
              <w:rPr>
                <w:rFonts w:ascii="Times New Roman" w:hAnsi="Times New Roman"/>
              </w:rPr>
            </w:pPr>
            <w:r>
              <w:t xml:space="preserve">Torture is a clear violation of human rights, so this article supports the idea that people have “inalienable” human rights. </w:t>
            </w:r>
          </w:p>
        </w:tc>
      </w:tr>
      <w:tr w:rsidR="00C902D2" w:rsidRPr="00FC71BF">
        <w:tc>
          <w:tcPr>
            <w:tcW w:w="918" w:type="dxa"/>
          </w:tcPr>
          <w:p w:rsidR="00C902D2" w:rsidRPr="00643181" w:rsidRDefault="00C902D2" w:rsidP="00862A94">
            <w:pPr>
              <w:pStyle w:val="ToolTableText"/>
              <w:rPr>
                <w:rFonts w:ascii="Times New Roman" w:hAnsi="Times New Roman"/>
                <w:b/>
              </w:rPr>
            </w:pPr>
            <w:r w:rsidRPr="00643181">
              <w:rPr>
                <w:b/>
              </w:rPr>
              <w:t>6</w:t>
            </w:r>
          </w:p>
        </w:tc>
        <w:tc>
          <w:tcPr>
            <w:tcW w:w="3510" w:type="dxa"/>
          </w:tcPr>
          <w:p w:rsidR="00C902D2" w:rsidRDefault="00C902D2" w:rsidP="00862A94">
            <w:pPr>
              <w:pStyle w:val="ToolTableText"/>
              <w:rPr>
                <w:rFonts w:ascii="Times New Roman" w:hAnsi="Times New Roman"/>
              </w:rPr>
            </w:pPr>
            <w:r>
              <w:t xml:space="preserve">Everyone has the right to be legally recognized as a person. </w:t>
            </w:r>
          </w:p>
        </w:tc>
        <w:tc>
          <w:tcPr>
            <w:tcW w:w="5220" w:type="dxa"/>
          </w:tcPr>
          <w:p w:rsidR="00C902D2" w:rsidRDefault="00C902D2" w:rsidP="00862A94">
            <w:pPr>
              <w:pStyle w:val="ToolTableText"/>
              <w:rPr>
                <w:rFonts w:ascii="Times New Roman" w:hAnsi="Times New Roman"/>
              </w:rPr>
            </w:pPr>
            <w:r>
              <w:t>In order to have recognized “human rights,” everyone must be legally recognized as a person.</w:t>
            </w:r>
          </w:p>
        </w:tc>
      </w:tr>
    </w:tbl>
    <w:p w:rsidR="001047D1" w:rsidRDefault="001047D1">
      <w:r>
        <w:br w:type="page"/>
      </w:r>
    </w:p>
    <w:tbl>
      <w:tblPr>
        <w:tblStyle w:val="TableGrid"/>
        <w:tblW w:w="9648" w:type="dxa"/>
        <w:tblLook w:val="04A0"/>
      </w:tblPr>
      <w:tblGrid>
        <w:gridCol w:w="918"/>
        <w:gridCol w:w="3510"/>
        <w:gridCol w:w="5220"/>
      </w:tblGrid>
      <w:tr w:rsidR="00C902D2" w:rsidRPr="00FC71BF">
        <w:tc>
          <w:tcPr>
            <w:tcW w:w="918" w:type="dxa"/>
          </w:tcPr>
          <w:p w:rsidR="00C902D2" w:rsidRPr="00643181" w:rsidRDefault="00C902D2" w:rsidP="00862A94">
            <w:pPr>
              <w:pStyle w:val="ToolTableText"/>
              <w:rPr>
                <w:rFonts w:ascii="Times New Roman" w:hAnsi="Times New Roman"/>
                <w:b/>
              </w:rPr>
            </w:pPr>
            <w:r w:rsidRPr="00643181">
              <w:rPr>
                <w:b/>
              </w:rPr>
              <w:lastRenderedPageBreak/>
              <w:t>7</w:t>
            </w:r>
          </w:p>
        </w:tc>
        <w:tc>
          <w:tcPr>
            <w:tcW w:w="3510" w:type="dxa"/>
          </w:tcPr>
          <w:p w:rsidR="00C902D2" w:rsidRDefault="00C902D2" w:rsidP="00862A94">
            <w:pPr>
              <w:pStyle w:val="ToolTableText"/>
              <w:rPr>
                <w:rFonts w:ascii="Times New Roman" w:hAnsi="Times New Roman"/>
              </w:rPr>
            </w:pPr>
            <w:r>
              <w:t>People are entitled to equal protection under the law. People are protected against discrimination.</w:t>
            </w:r>
          </w:p>
        </w:tc>
        <w:tc>
          <w:tcPr>
            <w:tcW w:w="5220" w:type="dxa"/>
          </w:tcPr>
          <w:p w:rsidR="00C902D2" w:rsidRDefault="00C902D2" w:rsidP="00862A94">
            <w:pPr>
              <w:pStyle w:val="ToolTableText"/>
              <w:rPr>
                <w:rFonts w:ascii="Times New Roman" w:hAnsi="Times New Roman"/>
              </w:rPr>
            </w:pPr>
            <w:r>
              <w:t>Recognition of human rights is the “foundation” of “freedom, justice and peace.” Ensuring equal protection under the law develops the relationship between human rights and justice.</w:t>
            </w:r>
          </w:p>
        </w:tc>
      </w:tr>
      <w:tr w:rsidR="001047D1" w:rsidRPr="00FC71BF">
        <w:tc>
          <w:tcPr>
            <w:tcW w:w="9648" w:type="dxa"/>
            <w:gridSpan w:val="3"/>
            <w:shd w:val="clear" w:color="auto" w:fill="D9D9D9" w:themeFill="background1" w:themeFillShade="D9"/>
          </w:tcPr>
          <w:p w:rsidR="001047D1" w:rsidRDefault="001047D1" w:rsidP="00862A94">
            <w:pPr>
              <w:pStyle w:val="ToolTableText"/>
            </w:pPr>
            <w:r>
              <w:rPr>
                <w:b/>
              </w:rPr>
              <w:t>Article 8–10</w:t>
            </w:r>
          </w:p>
        </w:tc>
      </w:tr>
      <w:tr w:rsidR="001047D1" w:rsidRPr="00FC71BF" w:rsidTr="00BD3174">
        <w:tc>
          <w:tcPr>
            <w:tcW w:w="918" w:type="dxa"/>
            <w:shd w:val="clear" w:color="auto" w:fill="D9D9D9" w:themeFill="background1" w:themeFillShade="D9"/>
            <w:vAlign w:val="center"/>
          </w:tcPr>
          <w:p w:rsidR="001047D1" w:rsidRPr="00862A94" w:rsidRDefault="001047D1" w:rsidP="001047D1">
            <w:pPr>
              <w:pStyle w:val="ToolTableText"/>
              <w:rPr>
                <w:b/>
              </w:rPr>
            </w:pPr>
            <w:r w:rsidRPr="00862A94">
              <w:rPr>
                <w:b/>
              </w:rPr>
              <w:t>Article</w:t>
            </w:r>
          </w:p>
        </w:tc>
        <w:tc>
          <w:tcPr>
            <w:tcW w:w="3510" w:type="dxa"/>
            <w:shd w:val="clear" w:color="auto" w:fill="D9D9D9" w:themeFill="background1" w:themeFillShade="D9"/>
            <w:vAlign w:val="center"/>
          </w:tcPr>
          <w:p w:rsidR="001047D1" w:rsidRPr="00862A94" w:rsidRDefault="001047D1" w:rsidP="001047D1">
            <w:pPr>
              <w:pStyle w:val="ToolTableText"/>
              <w:rPr>
                <w:b/>
              </w:rPr>
            </w:pPr>
            <w:r w:rsidRPr="00862A94">
              <w:rPr>
                <w:b/>
              </w:rPr>
              <w:t>Summarize the Article’s claim</w:t>
            </w:r>
            <w:r>
              <w:rPr>
                <w:b/>
              </w:rPr>
              <w:t>.</w:t>
            </w:r>
          </w:p>
        </w:tc>
        <w:tc>
          <w:tcPr>
            <w:tcW w:w="5220" w:type="dxa"/>
            <w:shd w:val="clear" w:color="auto" w:fill="D9D9D9" w:themeFill="background1" w:themeFillShade="D9"/>
            <w:vAlign w:val="center"/>
          </w:tcPr>
          <w:p w:rsidR="001047D1" w:rsidRPr="00862A94" w:rsidRDefault="001047D1" w:rsidP="001047D1">
            <w:pPr>
              <w:pStyle w:val="ToolTableText"/>
              <w:rPr>
                <w:b/>
              </w:rPr>
            </w:pPr>
            <w:r w:rsidRPr="00862A94">
              <w:rPr>
                <w:b/>
              </w:rPr>
              <w:t>How does the Article develop or refine an idea about human rights or freedoms?</w:t>
            </w:r>
          </w:p>
        </w:tc>
      </w:tr>
      <w:tr w:rsidR="001047D1" w:rsidRPr="00FC71BF">
        <w:tc>
          <w:tcPr>
            <w:tcW w:w="918" w:type="dxa"/>
          </w:tcPr>
          <w:p w:rsidR="001047D1" w:rsidRPr="00862A94" w:rsidRDefault="001047D1" w:rsidP="001047D1">
            <w:pPr>
              <w:pStyle w:val="ToolTableText"/>
            </w:pPr>
            <w:r w:rsidRPr="00C902D2">
              <w:rPr>
                <w:b/>
              </w:rPr>
              <w:t>8</w:t>
            </w:r>
          </w:p>
        </w:tc>
        <w:tc>
          <w:tcPr>
            <w:tcW w:w="3510" w:type="dxa"/>
          </w:tcPr>
          <w:p w:rsidR="001047D1" w:rsidRDefault="001047D1" w:rsidP="001047D1">
            <w:pPr>
              <w:pStyle w:val="ToolTableText"/>
              <w:rPr>
                <w:rFonts w:ascii="Times New Roman" w:hAnsi="Times New Roman"/>
              </w:rPr>
            </w:pPr>
            <w:r>
              <w:t>People have the right to access a competent court system when their human rights are violated.</w:t>
            </w:r>
          </w:p>
        </w:tc>
        <w:tc>
          <w:tcPr>
            <w:tcW w:w="5220" w:type="dxa"/>
          </w:tcPr>
          <w:p w:rsidR="001047D1" w:rsidRDefault="001047D1" w:rsidP="001047D1">
            <w:pPr>
              <w:pStyle w:val="ToolTableText"/>
              <w:rPr>
                <w:rFonts w:ascii="Times New Roman" w:hAnsi="Times New Roman"/>
              </w:rPr>
            </w:pPr>
            <w:r>
              <w:t>Ensuring people’s rights in the court system refines the idea that “human rights should be protected by the rule of law.”</w:t>
            </w:r>
          </w:p>
        </w:tc>
      </w:tr>
      <w:tr w:rsidR="001047D1" w:rsidRPr="00FC71BF">
        <w:tc>
          <w:tcPr>
            <w:tcW w:w="918" w:type="dxa"/>
          </w:tcPr>
          <w:p w:rsidR="001047D1" w:rsidRPr="00862A94" w:rsidRDefault="001047D1" w:rsidP="001047D1">
            <w:pPr>
              <w:pStyle w:val="ToolTableText"/>
            </w:pPr>
            <w:r w:rsidRPr="00C902D2">
              <w:rPr>
                <w:b/>
              </w:rPr>
              <w:t>9</w:t>
            </w:r>
          </w:p>
        </w:tc>
        <w:tc>
          <w:tcPr>
            <w:tcW w:w="3510" w:type="dxa"/>
          </w:tcPr>
          <w:p w:rsidR="001047D1" w:rsidRDefault="001047D1" w:rsidP="001047D1">
            <w:pPr>
              <w:pStyle w:val="ToolTableText"/>
              <w:rPr>
                <w:rFonts w:ascii="Times New Roman" w:hAnsi="Times New Roman"/>
              </w:rPr>
            </w:pPr>
            <w:r>
              <w:t>People should not be arrested, detained, or exiled without a reason.</w:t>
            </w:r>
          </w:p>
        </w:tc>
        <w:tc>
          <w:tcPr>
            <w:tcW w:w="5220" w:type="dxa"/>
          </w:tcPr>
          <w:p w:rsidR="001047D1" w:rsidRDefault="001047D1" w:rsidP="001047D1">
            <w:pPr>
              <w:pStyle w:val="ToolTableText"/>
              <w:rPr>
                <w:rFonts w:ascii="Times New Roman" w:hAnsi="Times New Roman"/>
              </w:rPr>
            </w:pPr>
            <w:r>
              <w:t>Article 9 develops the idea that people should enjoy “freedom from fear.” Protection from “arbitrary arrest, detention or exile” supports “freedom from fear.”</w:t>
            </w:r>
          </w:p>
        </w:tc>
      </w:tr>
      <w:tr w:rsidR="001047D1" w:rsidRPr="00FC71BF">
        <w:tc>
          <w:tcPr>
            <w:tcW w:w="918" w:type="dxa"/>
          </w:tcPr>
          <w:p w:rsidR="001047D1" w:rsidRPr="00862A94" w:rsidRDefault="001047D1" w:rsidP="001047D1">
            <w:pPr>
              <w:pStyle w:val="ToolTableText"/>
            </w:pPr>
            <w:r w:rsidRPr="00C902D2">
              <w:rPr>
                <w:b/>
              </w:rPr>
              <w:t>10</w:t>
            </w:r>
          </w:p>
        </w:tc>
        <w:tc>
          <w:tcPr>
            <w:tcW w:w="3510" w:type="dxa"/>
          </w:tcPr>
          <w:p w:rsidR="001047D1" w:rsidRDefault="001047D1" w:rsidP="001047D1">
            <w:pPr>
              <w:pStyle w:val="ToolTableText"/>
              <w:rPr>
                <w:rFonts w:ascii="Times New Roman" w:hAnsi="Times New Roman"/>
              </w:rPr>
            </w:pPr>
            <w:r>
              <w:t>If people are accused of a crime, they have the right to a fair court hearing.</w:t>
            </w:r>
          </w:p>
        </w:tc>
        <w:tc>
          <w:tcPr>
            <w:tcW w:w="5220" w:type="dxa"/>
          </w:tcPr>
          <w:p w:rsidR="001047D1" w:rsidRDefault="001047D1" w:rsidP="001047D1">
            <w:pPr>
              <w:pStyle w:val="ToolTableText"/>
              <w:rPr>
                <w:rFonts w:ascii="Times New Roman" w:hAnsi="Times New Roman"/>
              </w:rPr>
            </w:pPr>
            <w:r>
              <w:t>Similar to Article 8, ensuring people’s rights in the court system refines the idea that “human rights should be protected by the rule of law.”</w:t>
            </w:r>
          </w:p>
        </w:tc>
      </w:tr>
    </w:tbl>
    <w:p w:rsidR="00643181" w:rsidRDefault="00643181"/>
    <w:p w:rsidR="005F6E8F" w:rsidRPr="009E7346" w:rsidRDefault="005F6E8F" w:rsidP="00643181">
      <w:pPr>
        <w:pStyle w:val="Q"/>
      </w:pPr>
    </w:p>
    <w:sectPr w:rsidR="005F6E8F" w:rsidRPr="009E7346"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F1" w:rsidRDefault="004957F1" w:rsidP="00E946A0">
      <w:r>
        <w:separator/>
      </w:r>
    </w:p>
    <w:p w:rsidR="004957F1" w:rsidRDefault="004957F1" w:rsidP="00E946A0"/>
  </w:endnote>
  <w:endnote w:type="continuationSeparator" w:id="0">
    <w:p w:rsidR="004957F1" w:rsidRDefault="004957F1" w:rsidP="00E946A0">
      <w:r>
        <w:continuationSeparator/>
      </w:r>
    </w:p>
    <w:p w:rsidR="004957F1" w:rsidRDefault="004957F1"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0739E79A-63FB-45C4-B03A-CB651C7781DC}"/>
  </w:font>
  <w:font w:name="Times New Roman">
    <w:panose1 w:val="02020603050405020304"/>
    <w:charset w:val="00"/>
    <w:family w:val="roman"/>
    <w:pitch w:val="variable"/>
    <w:sig w:usb0="E0002AFF" w:usb1="C0007841" w:usb2="00000009" w:usb3="00000000" w:csb0="000001FF" w:csb1="00000000"/>
    <w:embedRegular r:id="rId2" w:subsetted="1" w:fontKey="{B92E291D-FF6E-44A0-A533-D64FBA81B7FA}"/>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E2" w:rsidRDefault="005E15CD" w:rsidP="00E946A0">
    <w:pPr>
      <w:pStyle w:val="Footer"/>
      <w:rPr>
        <w:rStyle w:val="PageNumber"/>
        <w:rFonts w:ascii="Calibri" w:hAnsi="Calibri"/>
        <w:sz w:val="22"/>
      </w:rPr>
    </w:pPr>
    <w:r>
      <w:rPr>
        <w:rStyle w:val="PageNumber"/>
      </w:rPr>
      <w:fldChar w:fldCharType="begin"/>
    </w:r>
    <w:r w:rsidR="000E21E2">
      <w:rPr>
        <w:rStyle w:val="PageNumber"/>
      </w:rPr>
      <w:instrText xml:space="preserve">PAGE  </w:instrText>
    </w:r>
    <w:r>
      <w:rPr>
        <w:rStyle w:val="PageNumber"/>
      </w:rPr>
      <w:fldChar w:fldCharType="end"/>
    </w:r>
  </w:p>
  <w:p w:rsidR="000E21E2" w:rsidRDefault="000E21E2" w:rsidP="00E946A0">
    <w:pPr>
      <w:pStyle w:val="Footer"/>
    </w:pPr>
  </w:p>
  <w:p w:rsidR="000E21E2" w:rsidRDefault="000E21E2" w:rsidP="00E946A0"/>
  <w:p w:rsidR="000E21E2" w:rsidRDefault="000E21E2"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E2" w:rsidRPr="00563CB8" w:rsidRDefault="000E21E2"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0E21E2">
      <w:trPr>
        <w:trHeight w:val="705"/>
      </w:trPr>
      <w:tc>
        <w:tcPr>
          <w:tcW w:w="4609" w:type="dxa"/>
          <w:shd w:val="clear" w:color="auto" w:fill="auto"/>
          <w:vAlign w:val="center"/>
        </w:tcPr>
        <w:p w:rsidR="000E21E2" w:rsidRPr="002E4C92" w:rsidRDefault="000E21E2" w:rsidP="004F2969">
          <w:pPr>
            <w:pStyle w:val="FooterText"/>
          </w:pPr>
          <w:r w:rsidRPr="002E4C92">
            <w:t>File:</w:t>
          </w:r>
          <w:r>
            <w:rPr>
              <w:b w:val="0"/>
            </w:rPr>
            <w:t xml:space="preserve"> 10.2.3</w:t>
          </w:r>
          <w:r w:rsidRPr="0039525B">
            <w:rPr>
              <w:b w:val="0"/>
            </w:rPr>
            <w:t xml:space="preserve"> Lesson </w:t>
          </w:r>
          <w:r>
            <w:rPr>
              <w:b w:val="0"/>
            </w:rPr>
            <w:t>1</w:t>
          </w:r>
          <w:r w:rsidRPr="002E4C92">
            <w:t xml:space="preserve"> Date:</w:t>
          </w:r>
          <w:r w:rsidRPr="0039525B">
            <w:rPr>
              <w:b w:val="0"/>
            </w:rPr>
            <w:t xml:space="preserve"> </w:t>
          </w:r>
          <w:r>
            <w:rPr>
              <w:b w:val="0"/>
            </w:rPr>
            <w:t>4</w:t>
          </w:r>
          <w:r w:rsidRPr="0039525B">
            <w:rPr>
              <w:b w:val="0"/>
            </w:rPr>
            <w:t>/</w:t>
          </w:r>
          <w:r w:rsidR="003E6289">
            <w:rPr>
              <w:b w:val="0"/>
            </w:rPr>
            <w:t>18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0E21E2" w:rsidRPr="0039525B" w:rsidRDefault="000E21E2"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0E21E2" w:rsidRPr="0039525B" w:rsidRDefault="000E21E2"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0E21E2" w:rsidRPr="002E4C92" w:rsidRDefault="005E15CD" w:rsidP="004F2969">
          <w:pPr>
            <w:pStyle w:val="FooterText"/>
          </w:pPr>
          <w:hyperlink r:id="rId1" w:history="1">
            <w:r w:rsidR="000E21E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0E21E2" w:rsidRPr="002E4C92" w:rsidRDefault="005E15CD"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0E21E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65764">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rsidR="000E21E2" w:rsidRPr="002E4C92" w:rsidRDefault="000E21E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0E21E2" w:rsidRPr="0039525B" w:rsidRDefault="000E21E2"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F1" w:rsidRDefault="004957F1" w:rsidP="00E946A0">
      <w:r>
        <w:separator/>
      </w:r>
    </w:p>
    <w:p w:rsidR="004957F1" w:rsidRDefault="004957F1" w:rsidP="00E946A0"/>
  </w:footnote>
  <w:footnote w:type="continuationSeparator" w:id="0">
    <w:p w:rsidR="004957F1" w:rsidRDefault="004957F1" w:rsidP="00E946A0">
      <w:r>
        <w:continuationSeparator/>
      </w:r>
    </w:p>
    <w:p w:rsidR="004957F1" w:rsidRDefault="004957F1"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0E21E2" w:rsidRPr="00563CB8">
      <w:tc>
        <w:tcPr>
          <w:tcW w:w="3708" w:type="dxa"/>
          <w:shd w:val="clear" w:color="auto" w:fill="auto"/>
        </w:tcPr>
        <w:p w:rsidR="000E21E2" w:rsidRPr="00563CB8" w:rsidRDefault="000E21E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0E21E2" w:rsidRPr="00563CB8" w:rsidRDefault="000E21E2" w:rsidP="00E946A0">
          <w:pPr>
            <w:jc w:val="center"/>
          </w:pPr>
          <w:r w:rsidRPr="00563CB8">
            <w:t>D R A F T</w:t>
          </w:r>
        </w:p>
      </w:tc>
      <w:tc>
        <w:tcPr>
          <w:tcW w:w="3438" w:type="dxa"/>
          <w:shd w:val="clear" w:color="auto" w:fill="auto"/>
        </w:tcPr>
        <w:p w:rsidR="000E21E2" w:rsidRPr="00E946A0" w:rsidRDefault="000E21E2" w:rsidP="00E946A0">
          <w:pPr>
            <w:pStyle w:val="PageHeader"/>
            <w:jc w:val="right"/>
            <w:rPr>
              <w:b w:val="0"/>
            </w:rPr>
          </w:pPr>
          <w:r>
            <w:rPr>
              <w:b w:val="0"/>
            </w:rPr>
            <w:t>Grade 10 • Module 2 • Unit 3 • Lesson 1</w:t>
          </w:r>
        </w:p>
      </w:tc>
    </w:tr>
  </w:tbl>
  <w:p w:rsidR="000E21E2" w:rsidRDefault="000E21E2"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046F76"/>
    <w:multiLevelType w:val="hybridMultilevel"/>
    <w:tmpl w:val="5E20682E"/>
    <w:lvl w:ilvl="0" w:tplc="8BE8D1D4">
      <w:start w:val="1"/>
      <w:numFmt w:val="lowerLetter"/>
      <w:pStyle w:val="SubStandard"/>
      <w:lvlText w:val="%1."/>
      <w:lvlJc w:val="left"/>
      <w:pPr>
        <w:ind w:left="360" w:hanging="360"/>
      </w:pPr>
      <w:rPr>
        <w:rFonts w:hint="default"/>
        <w:b w:val="0"/>
        <w:color w:val="auto"/>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Verdana"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Verdana"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Verdana" w:hint="default"/>
      </w:rPr>
    </w:lvl>
    <w:lvl w:ilvl="8" w:tplc="CE3C561C" w:tentative="1">
      <w:start w:val="1"/>
      <w:numFmt w:val="bullet"/>
      <w:lvlText w:val=""/>
      <w:lvlJc w:val="left"/>
      <w:pPr>
        <w:ind w:left="6480" w:hanging="360"/>
      </w:pPr>
      <w:rPr>
        <w:rFonts w:ascii="Wingdings" w:hAnsi="Wingdings" w:hint="default"/>
      </w:rPr>
    </w:lvl>
  </w:abstractNum>
  <w:abstractNum w:abstractNumId="6">
    <w:nsid w:val="67171F0E"/>
    <w:multiLevelType w:val="hybridMultilevel"/>
    <w:tmpl w:val="889E8C6E"/>
    <w:lvl w:ilvl="0" w:tplc="66BEF364">
      <w:start w:val="1"/>
      <w:numFmt w:val="bullet"/>
      <w:pStyle w:val="INBullet"/>
      <w:lvlText w:val="o"/>
      <w:lvlJc w:val="left"/>
      <w:pPr>
        <w:ind w:left="1440" w:hanging="360"/>
      </w:pPr>
      <w:rPr>
        <w:rFonts w:ascii="Courier New" w:hAnsi="Courier New" w:cs="Verdana" w:hint="default"/>
      </w:rPr>
    </w:lvl>
    <w:lvl w:ilvl="1" w:tplc="04090003">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7"/>
  </w:num>
  <w:num w:numId="7">
    <w:abstractNumId w:val="6"/>
  </w:num>
  <w:num w:numId="8">
    <w:abstractNumId w:val="2"/>
    <w:lvlOverride w:ilvl="0">
      <w:startOverride w:val="1"/>
    </w:lvlOverride>
  </w:num>
  <w:num w:numId="9">
    <w:abstractNumId w:val="3"/>
  </w:num>
  <w:num w:numId="10">
    <w:abstractNumId w:val="3"/>
    <w:lvlOverride w:ilvl="0">
      <w:startOverride w:val="2"/>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5F0"/>
    <w:rsid w:val="00011E99"/>
    <w:rsid w:val="000134DA"/>
    <w:rsid w:val="000137C5"/>
    <w:rsid w:val="00014D5D"/>
    <w:rsid w:val="00015D62"/>
    <w:rsid w:val="00020527"/>
    <w:rsid w:val="00021589"/>
    <w:rsid w:val="0002335F"/>
    <w:rsid w:val="000321F1"/>
    <w:rsid w:val="00034778"/>
    <w:rsid w:val="000356C8"/>
    <w:rsid w:val="00053088"/>
    <w:rsid w:val="00053CA9"/>
    <w:rsid w:val="00062291"/>
    <w:rsid w:val="0006233C"/>
    <w:rsid w:val="00062533"/>
    <w:rsid w:val="00064850"/>
    <w:rsid w:val="00066123"/>
    <w:rsid w:val="0006776C"/>
    <w:rsid w:val="00071936"/>
    <w:rsid w:val="00072749"/>
    <w:rsid w:val="00072EB0"/>
    <w:rsid w:val="00073A75"/>
    <w:rsid w:val="000742AA"/>
    <w:rsid w:val="00075649"/>
    <w:rsid w:val="000764E1"/>
    <w:rsid w:val="00076690"/>
    <w:rsid w:val="000771DF"/>
    <w:rsid w:val="00080A8A"/>
    <w:rsid w:val="000848B2"/>
    <w:rsid w:val="00086A06"/>
    <w:rsid w:val="00090200"/>
    <w:rsid w:val="00092730"/>
    <w:rsid w:val="00092C82"/>
    <w:rsid w:val="00095BBA"/>
    <w:rsid w:val="00096660"/>
    <w:rsid w:val="00096A06"/>
    <w:rsid w:val="000A1206"/>
    <w:rsid w:val="000A26A7"/>
    <w:rsid w:val="000A2AE5"/>
    <w:rsid w:val="000A3640"/>
    <w:rsid w:val="000A65BB"/>
    <w:rsid w:val="000B01B2"/>
    <w:rsid w:val="000B1882"/>
    <w:rsid w:val="000B2D56"/>
    <w:rsid w:val="000B3015"/>
    <w:rsid w:val="000B3836"/>
    <w:rsid w:val="000B6EA7"/>
    <w:rsid w:val="000C0112"/>
    <w:rsid w:val="000C14C8"/>
    <w:rsid w:val="000C169A"/>
    <w:rsid w:val="000C4439"/>
    <w:rsid w:val="000C4813"/>
    <w:rsid w:val="000C5656"/>
    <w:rsid w:val="000C5893"/>
    <w:rsid w:val="000D0DA9"/>
    <w:rsid w:val="000D0F3D"/>
    <w:rsid w:val="000D0FAE"/>
    <w:rsid w:val="000D0FC1"/>
    <w:rsid w:val="000D71CC"/>
    <w:rsid w:val="000E0B69"/>
    <w:rsid w:val="000E21E2"/>
    <w:rsid w:val="000E4DBA"/>
    <w:rsid w:val="000E68BE"/>
    <w:rsid w:val="000F192C"/>
    <w:rsid w:val="000F2414"/>
    <w:rsid w:val="000F7D35"/>
    <w:rsid w:val="000F7F56"/>
    <w:rsid w:val="00100FE3"/>
    <w:rsid w:val="0010235F"/>
    <w:rsid w:val="001047D1"/>
    <w:rsid w:val="00110A04"/>
    <w:rsid w:val="00111A39"/>
    <w:rsid w:val="00113501"/>
    <w:rsid w:val="00114A1F"/>
    <w:rsid w:val="001159C2"/>
    <w:rsid w:val="001215F2"/>
    <w:rsid w:val="001218DB"/>
    <w:rsid w:val="00121C27"/>
    <w:rsid w:val="001258FD"/>
    <w:rsid w:val="001270B6"/>
    <w:rsid w:val="001277CD"/>
    <w:rsid w:val="001279C0"/>
    <w:rsid w:val="00127B3F"/>
    <w:rsid w:val="00130BC3"/>
    <w:rsid w:val="00130CD9"/>
    <w:rsid w:val="00133528"/>
    <w:rsid w:val="00133D81"/>
    <w:rsid w:val="001352AE"/>
    <w:rsid w:val="0013591C"/>
    <w:rsid w:val="001362D4"/>
    <w:rsid w:val="00140413"/>
    <w:rsid w:val="00141220"/>
    <w:rsid w:val="00141F83"/>
    <w:rsid w:val="001509EC"/>
    <w:rsid w:val="0015118C"/>
    <w:rsid w:val="001546B1"/>
    <w:rsid w:val="001549DA"/>
    <w:rsid w:val="00154CC4"/>
    <w:rsid w:val="00156124"/>
    <w:rsid w:val="00157E9E"/>
    <w:rsid w:val="001657A6"/>
    <w:rsid w:val="001708C2"/>
    <w:rsid w:val="001723D5"/>
    <w:rsid w:val="00175460"/>
    <w:rsid w:val="00175B00"/>
    <w:rsid w:val="00175D1A"/>
    <w:rsid w:val="001803E1"/>
    <w:rsid w:val="0018630D"/>
    <w:rsid w:val="00186355"/>
    <w:rsid w:val="001864E6"/>
    <w:rsid w:val="00186FDA"/>
    <w:rsid w:val="0018762C"/>
    <w:rsid w:val="00193FB9"/>
    <w:rsid w:val="001945FA"/>
    <w:rsid w:val="00194F1D"/>
    <w:rsid w:val="001A5133"/>
    <w:rsid w:val="001B0794"/>
    <w:rsid w:val="001B1487"/>
    <w:rsid w:val="001C0058"/>
    <w:rsid w:val="001C1C99"/>
    <w:rsid w:val="001C35E3"/>
    <w:rsid w:val="001C4A09"/>
    <w:rsid w:val="001C5188"/>
    <w:rsid w:val="001C52E9"/>
    <w:rsid w:val="001C6B70"/>
    <w:rsid w:val="001D047B"/>
    <w:rsid w:val="001D0518"/>
    <w:rsid w:val="001D0911"/>
    <w:rsid w:val="001D216E"/>
    <w:rsid w:val="001D5480"/>
    <w:rsid w:val="001D641A"/>
    <w:rsid w:val="001D6B69"/>
    <w:rsid w:val="001D7B01"/>
    <w:rsid w:val="001E0BBA"/>
    <w:rsid w:val="001E189E"/>
    <w:rsid w:val="001E2310"/>
    <w:rsid w:val="001E2442"/>
    <w:rsid w:val="001E7CD9"/>
    <w:rsid w:val="001F0991"/>
    <w:rsid w:val="001F6C4F"/>
    <w:rsid w:val="001F7794"/>
    <w:rsid w:val="002009F7"/>
    <w:rsid w:val="0020138A"/>
    <w:rsid w:val="0020191F"/>
    <w:rsid w:val="002041CD"/>
    <w:rsid w:val="00205027"/>
    <w:rsid w:val="00207C8B"/>
    <w:rsid w:val="0021102A"/>
    <w:rsid w:val="00214929"/>
    <w:rsid w:val="00223794"/>
    <w:rsid w:val="00224590"/>
    <w:rsid w:val="002306FF"/>
    <w:rsid w:val="00231919"/>
    <w:rsid w:val="00232891"/>
    <w:rsid w:val="00234239"/>
    <w:rsid w:val="00240198"/>
    <w:rsid w:val="00240FF7"/>
    <w:rsid w:val="0024557C"/>
    <w:rsid w:val="00245B86"/>
    <w:rsid w:val="00246842"/>
    <w:rsid w:val="002516D4"/>
    <w:rsid w:val="00251A7C"/>
    <w:rsid w:val="00251DAB"/>
    <w:rsid w:val="00252CE7"/>
    <w:rsid w:val="00252D78"/>
    <w:rsid w:val="002619B1"/>
    <w:rsid w:val="002623CC"/>
    <w:rsid w:val="002635F4"/>
    <w:rsid w:val="00263AF5"/>
    <w:rsid w:val="0026501D"/>
    <w:rsid w:val="00265FA0"/>
    <w:rsid w:val="002661A8"/>
    <w:rsid w:val="002670F2"/>
    <w:rsid w:val="0026721F"/>
    <w:rsid w:val="002706D5"/>
    <w:rsid w:val="00272F80"/>
    <w:rsid w:val="0027431D"/>
    <w:rsid w:val="0027478A"/>
    <w:rsid w:val="002748DB"/>
    <w:rsid w:val="00274FEB"/>
    <w:rsid w:val="00275C43"/>
    <w:rsid w:val="00276DB9"/>
    <w:rsid w:val="00276ED1"/>
    <w:rsid w:val="0028184C"/>
    <w:rsid w:val="00284B9E"/>
    <w:rsid w:val="00284D78"/>
    <w:rsid w:val="00284FC0"/>
    <w:rsid w:val="002872C5"/>
    <w:rsid w:val="00290F88"/>
    <w:rsid w:val="0029527C"/>
    <w:rsid w:val="00297DC5"/>
    <w:rsid w:val="002A21DE"/>
    <w:rsid w:val="002A3770"/>
    <w:rsid w:val="002A3FD8"/>
    <w:rsid w:val="002A5337"/>
    <w:rsid w:val="002B6EE8"/>
    <w:rsid w:val="002C0245"/>
    <w:rsid w:val="002C02FB"/>
    <w:rsid w:val="002C0463"/>
    <w:rsid w:val="002C1375"/>
    <w:rsid w:val="002C5BA5"/>
    <w:rsid w:val="002C5F0D"/>
    <w:rsid w:val="002D2AFD"/>
    <w:rsid w:val="002D5EB9"/>
    <w:rsid w:val="002D632F"/>
    <w:rsid w:val="002E02E5"/>
    <w:rsid w:val="002E0CDA"/>
    <w:rsid w:val="002E27AE"/>
    <w:rsid w:val="002E4C92"/>
    <w:rsid w:val="002F03D2"/>
    <w:rsid w:val="002F2A18"/>
    <w:rsid w:val="002F2B80"/>
    <w:rsid w:val="002F3D41"/>
    <w:rsid w:val="002F3D65"/>
    <w:rsid w:val="002F4F5E"/>
    <w:rsid w:val="00301DCD"/>
    <w:rsid w:val="00305F78"/>
    <w:rsid w:val="003067BF"/>
    <w:rsid w:val="00311E81"/>
    <w:rsid w:val="00313D51"/>
    <w:rsid w:val="00317306"/>
    <w:rsid w:val="00320170"/>
    <w:rsid w:val="003201AC"/>
    <w:rsid w:val="0032239A"/>
    <w:rsid w:val="00335168"/>
    <w:rsid w:val="003368BF"/>
    <w:rsid w:val="003433AC"/>
    <w:rsid w:val="003440A9"/>
    <w:rsid w:val="0034731C"/>
    <w:rsid w:val="00347761"/>
    <w:rsid w:val="00347DD9"/>
    <w:rsid w:val="00350B03"/>
    <w:rsid w:val="00351804"/>
    <w:rsid w:val="00351C35"/>
    <w:rsid w:val="00351F18"/>
    <w:rsid w:val="00352361"/>
    <w:rsid w:val="00353081"/>
    <w:rsid w:val="00355B9E"/>
    <w:rsid w:val="00355ECD"/>
    <w:rsid w:val="00356656"/>
    <w:rsid w:val="00362010"/>
    <w:rsid w:val="00364CD8"/>
    <w:rsid w:val="00370465"/>
    <w:rsid w:val="00370743"/>
    <w:rsid w:val="00370C53"/>
    <w:rsid w:val="00372441"/>
    <w:rsid w:val="0037258B"/>
    <w:rsid w:val="00374C35"/>
    <w:rsid w:val="00376DBB"/>
    <w:rsid w:val="003822E1"/>
    <w:rsid w:val="003826B0"/>
    <w:rsid w:val="0038382F"/>
    <w:rsid w:val="00383A2A"/>
    <w:rsid w:val="003851B2"/>
    <w:rsid w:val="003854D3"/>
    <w:rsid w:val="0038635E"/>
    <w:rsid w:val="00387868"/>
    <w:rsid w:val="003908D2"/>
    <w:rsid w:val="003924D0"/>
    <w:rsid w:val="0039525B"/>
    <w:rsid w:val="00395EF7"/>
    <w:rsid w:val="003A19DB"/>
    <w:rsid w:val="003A2D62"/>
    <w:rsid w:val="003A3AB0"/>
    <w:rsid w:val="003A6129"/>
    <w:rsid w:val="003A6785"/>
    <w:rsid w:val="003B3DB9"/>
    <w:rsid w:val="003B455C"/>
    <w:rsid w:val="003B7708"/>
    <w:rsid w:val="003C1D3E"/>
    <w:rsid w:val="003C2022"/>
    <w:rsid w:val="003C24AD"/>
    <w:rsid w:val="003D2601"/>
    <w:rsid w:val="003D27E3"/>
    <w:rsid w:val="003D28E6"/>
    <w:rsid w:val="003D7469"/>
    <w:rsid w:val="003E237C"/>
    <w:rsid w:val="003E2C04"/>
    <w:rsid w:val="003E2F69"/>
    <w:rsid w:val="003E3757"/>
    <w:rsid w:val="003E3848"/>
    <w:rsid w:val="003E6289"/>
    <w:rsid w:val="003E693A"/>
    <w:rsid w:val="003F2833"/>
    <w:rsid w:val="003F3D65"/>
    <w:rsid w:val="003F5885"/>
    <w:rsid w:val="00405198"/>
    <w:rsid w:val="00406048"/>
    <w:rsid w:val="00407AD1"/>
    <w:rsid w:val="00412A7D"/>
    <w:rsid w:val="00413334"/>
    <w:rsid w:val="004179FD"/>
    <w:rsid w:val="00421157"/>
    <w:rsid w:val="0042474E"/>
    <w:rsid w:val="004258FF"/>
    <w:rsid w:val="00425E32"/>
    <w:rsid w:val="00432D7F"/>
    <w:rsid w:val="00436909"/>
    <w:rsid w:val="00436B5D"/>
    <w:rsid w:val="00437FD0"/>
    <w:rsid w:val="004402AC"/>
    <w:rsid w:val="004403EE"/>
    <w:rsid w:val="004407F1"/>
    <w:rsid w:val="00440948"/>
    <w:rsid w:val="00441BCA"/>
    <w:rsid w:val="0044459F"/>
    <w:rsid w:val="004452D5"/>
    <w:rsid w:val="00445D96"/>
    <w:rsid w:val="00446AFD"/>
    <w:rsid w:val="004528AF"/>
    <w:rsid w:val="004536D7"/>
    <w:rsid w:val="00455BB3"/>
    <w:rsid w:val="00455FC4"/>
    <w:rsid w:val="00456898"/>
    <w:rsid w:val="00456F88"/>
    <w:rsid w:val="0045725F"/>
    <w:rsid w:val="00457EBC"/>
    <w:rsid w:val="00457F98"/>
    <w:rsid w:val="004702B3"/>
    <w:rsid w:val="00470E93"/>
    <w:rsid w:val="004713C2"/>
    <w:rsid w:val="00472124"/>
    <w:rsid w:val="00472F34"/>
    <w:rsid w:val="0047469B"/>
    <w:rsid w:val="00477B3D"/>
    <w:rsid w:val="00481B54"/>
    <w:rsid w:val="00482C15"/>
    <w:rsid w:val="0048377F"/>
    <w:rsid w:val="004838D9"/>
    <w:rsid w:val="004846C5"/>
    <w:rsid w:val="00484822"/>
    <w:rsid w:val="00485500"/>
    <w:rsid w:val="00485D55"/>
    <w:rsid w:val="00493366"/>
    <w:rsid w:val="0049409E"/>
    <w:rsid w:val="0049465A"/>
    <w:rsid w:val="004957F1"/>
    <w:rsid w:val="00497B53"/>
    <w:rsid w:val="004A3F30"/>
    <w:rsid w:val="004A4B63"/>
    <w:rsid w:val="004A6064"/>
    <w:rsid w:val="004B0112"/>
    <w:rsid w:val="004B22B8"/>
    <w:rsid w:val="004B3E41"/>
    <w:rsid w:val="004B552B"/>
    <w:rsid w:val="004B7C07"/>
    <w:rsid w:val="004C602D"/>
    <w:rsid w:val="004C6CD8"/>
    <w:rsid w:val="004D1B52"/>
    <w:rsid w:val="004D487C"/>
    <w:rsid w:val="004D5473"/>
    <w:rsid w:val="004D578A"/>
    <w:rsid w:val="004D7029"/>
    <w:rsid w:val="004E1B0E"/>
    <w:rsid w:val="004E1C57"/>
    <w:rsid w:val="004F2363"/>
    <w:rsid w:val="004F2969"/>
    <w:rsid w:val="004F353F"/>
    <w:rsid w:val="004F57C6"/>
    <w:rsid w:val="004F62CF"/>
    <w:rsid w:val="004F72C6"/>
    <w:rsid w:val="00502FAD"/>
    <w:rsid w:val="00507DF5"/>
    <w:rsid w:val="0051016A"/>
    <w:rsid w:val="005121D2"/>
    <w:rsid w:val="00513C73"/>
    <w:rsid w:val="00513E84"/>
    <w:rsid w:val="00517918"/>
    <w:rsid w:val="0052385B"/>
    <w:rsid w:val="0052413A"/>
    <w:rsid w:val="00524F63"/>
    <w:rsid w:val="0052748A"/>
    <w:rsid w:val="0052769A"/>
    <w:rsid w:val="00527DE8"/>
    <w:rsid w:val="005324A5"/>
    <w:rsid w:val="00541A6A"/>
    <w:rsid w:val="00541F24"/>
    <w:rsid w:val="00542523"/>
    <w:rsid w:val="00546D71"/>
    <w:rsid w:val="0054791C"/>
    <w:rsid w:val="0055038E"/>
    <w:rsid w:val="0055268A"/>
    <w:rsid w:val="0055340D"/>
    <w:rsid w:val="0055385D"/>
    <w:rsid w:val="0055626F"/>
    <w:rsid w:val="00561640"/>
    <w:rsid w:val="00563CB8"/>
    <w:rsid w:val="00563DC9"/>
    <w:rsid w:val="005641F5"/>
    <w:rsid w:val="00565871"/>
    <w:rsid w:val="00567E85"/>
    <w:rsid w:val="00570901"/>
    <w:rsid w:val="00576E4A"/>
    <w:rsid w:val="00581401"/>
    <w:rsid w:val="00583354"/>
    <w:rsid w:val="005837C5"/>
    <w:rsid w:val="00583FF7"/>
    <w:rsid w:val="00585771"/>
    <w:rsid w:val="00585A0D"/>
    <w:rsid w:val="005875D8"/>
    <w:rsid w:val="00592D68"/>
    <w:rsid w:val="00593697"/>
    <w:rsid w:val="00595905"/>
    <w:rsid w:val="005960E3"/>
    <w:rsid w:val="005A0B60"/>
    <w:rsid w:val="005A7968"/>
    <w:rsid w:val="005B22B2"/>
    <w:rsid w:val="005B3D78"/>
    <w:rsid w:val="005B6F82"/>
    <w:rsid w:val="005B7E6E"/>
    <w:rsid w:val="005C3DAD"/>
    <w:rsid w:val="005C4572"/>
    <w:rsid w:val="005C53BA"/>
    <w:rsid w:val="005C7B5F"/>
    <w:rsid w:val="005D7C72"/>
    <w:rsid w:val="005E15CD"/>
    <w:rsid w:val="005E1E1E"/>
    <w:rsid w:val="005E2E87"/>
    <w:rsid w:val="005E4B13"/>
    <w:rsid w:val="005F147C"/>
    <w:rsid w:val="005F1E52"/>
    <w:rsid w:val="005F35CF"/>
    <w:rsid w:val="005F461C"/>
    <w:rsid w:val="005F5D35"/>
    <w:rsid w:val="005F657A"/>
    <w:rsid w:val="005F6E8F"/>
    <w:rsid w:val="00602928"/>
    <w:rsid w:val="00602A44"/>
    <w:rsid w:val="00603970"/>
    <w:rsid w:val="006044CD"/>
    <w:rsid w:val="00607856"/>
    <w:rsid w:val="006124D5"/>
    <w:rsid w:val="006134EB"/>
    <w:rsid w:val="0061536D"/>
    <w:rsid w:val="0062277B"/>
    <w:rsid w:val="00622980"/>
    <w:rsid w:val="00622D89"/>
    <w:rsid w:val="006261E1"/>
    <w:rsid w:val="006262F6"/>
    <w:rsid w:val="006265E3"/>
    <w:rsid w:val="00626E4A"/>
    <w:rsid w:val="0063653C"/>
    <w:rsid w:val="006375AF"/>
    <w:rsid w:val="00641DC5"/>
    <w:rsid w:val="00643181"/>
    <w:rsid w:val="00643550"/>
    <w:rsid w:val="00644540"/>
    <w:rsid w:val="00645C3F"/>
    <w:rsid w:val="00646088"/>
    <w:rsid w:val="00651092"/>
    <w:rsid w:val="00653199"/>
    <w:rsid w:val="00653ABB"/>
    <w:rsid w:val="0066211A"/>
    <w:rsid w:val="00663A00"/>
    <w:rsid w:val="00665263"/>
    <w:rsid w:val="006661AE"/>
    <w:rsid w:val="006667A3"/>
    <w:rsid w:val="006717E9"/>
    <w:rsid w:val="00673600"/>
    <w:rsid w:val="00673DB5"/>
    <w:rsid w:val="00674D08"/>
    <w:rsid w:val="0068018C"/>
    <w:rsid w:val="00683F00"/>
    <w:rsid w:val="00684AC1"/>
    <w:rsid w:val="00684F77"/>
    <w:rsid w:val="00687632"/>
    <w:rsid w:val="0069247E"/>
    <w:rsid w:val="00696173"/>
    <w:rsid w:val="006A0934"/>
    <w:rsid w:val="006A09D6"/>
    <w:rsid w:val="006A3594"/>
    <w:rsid w:val="006A59DD"/>
    <w:rsid w:val="006B0965"/>
    <w:rsid w:val="006B174F"/>
    <w:rsid w:val="006B61DD"/>
    <w:rsid w:val="006B7CCB"/>
    <w:rsid w:val="006C35D9"/>
    <w:rsid w:val="006D1B8A"/>
    <w:rsid w:val="006D5208"/>
    <w:rsid w:val="006D5695"/>
    <w:rsid w:val="006E4C84"/>
    <w:rsid w:val="006E69D5"/>
    <w:rsid w:val="006E7A67"/>
    <w:rsid w:val="006E7D3C"/>
    <w:rsid w:val="006F09DE"/>
    <w:rsid w:val="006F1D1C"/>
    <w:rsid w:val="006F3252"/>
    <w:rsid w:val="006F3BD7"/>
    <w:rsid w:val="006F429C"/>
    <w:rsid w:val="007008DC"/>
    <w:rsid w:val="007050F3"/>
    <w:rsid w:val="00706F7A"/>
    <w:rsid w:val="00707670"/>
    <w:rsid w:val="00707703"/>
    <w:rsid w:val="0071568E"/>
    <w:rsid w:val="0071600C"/>
    <w:rsid w:val="00717FDA"/>
    <w:rsid w:val="00721E0E"/>
    <w:rsid w:val="007228DD"/>
    <w:rsid w:val="0072440D"/>
    <w:rsid w:val="00724760"/>
    <w:rsid w:val="00730123"/>
    <w:rsid w:val="0073192F"/>
    <w:rsid w:val="00733C74"/>
    <w:rsid w:val="007358BB"/>
    <w:rsid w:val="00736321"/>
    <w:rsid w:val="00737EE7"/>
    <w:rsid w:val="007400A2"/>
    <w:rsid w:val="00741955"/>
    <w:rsid w:val="00747928"/>
    <w:rsid w:val="00753508"/>
    <w:rsid w:val="007536B9"/>
    <w:rsid w:val="007623AE"/>
    <w:rsid w:val="0076269D"/>
    <w:rsid w:val="00766336"/>
    <w:rsid w:val="0076658E"/>
    <w:rsid w:val="00766E5D"/>
    <w:rsid w:val="00767641"/>
    <w:rsid w:val="0077129E"/>
    <w:rsid w:val="00772135"/>
    <w:rsid w:val="00772FCA"/>
    <w:rsid w:val="0077398D"/>
    <w:rsid w:val="00775850"/>
    <w:rsid w:val="00775A08"/>
    <w:rsid w:val="00780B34"/>
    <w:rsid w:val="00781CBB"/>
    <w:rsid w:val="00785CBA"/>
    <w:rsid w:val="00796D57"/>
    <w:rsid w:val="00797281"/>
    <w:rsid w:val="007A0771"/>
    <w:rsid w:val="007A0E40"/>
    <w:rsid w:val="007A47B4"/>
    <w:rsid w:val="007A6CCC"/>
    <w:rsid w:val="007B0CFA"/>
    <w:rsid w:val="007B0EDD"/>
    <w:rsid w:val="007B4AC1"/>
    <w:rsid w:val="007B764B"/>
    <w:rsid w:val="007C14C1"/>
    <w:rsid w:val="007C5236"/>
    <w:rsid w:val="007C7BB7"/>
    <w:rsid w:val="007C7DB0"/>
    <w:rsid w:val="007D1715"/>
    <w:rsid w:val="007D28FD"/>
    <w:rsid w:val="007D2F12"/>
    <w:rsid w:val="007D3D67"/>
    <w:rsid w:val="007D49CE"/>
    <w:rsid w:val="007E147A"/>
    <w:rsid w:val="007E463A"/>
    <w:rsid w:val="007E4E86"/>
    <w:rsid w:val="007E6E9A"/>
    <w:rsid w:val="007E7665"/>
    <w:rsid w:val="007F05CA"/>
    <w:rsid w:val="007F4606"/>
    <w:rsid w:val="007F76FC"/>
    <w:rsid w:val="00804C62"/>
    <w:rsid w:val="00807C6B"/>
    <w:rsid w:val="008139A0"/>
    <w:rsid w:val="008151E5"/>
    <w:rsid w:val="00820EF9"/>
    <w:rsid w:val="0082210F"/>
    <w:rsid w:val="008228CD"/>
    <w:rsid w:val="00823D34"/>
    <w:rsid w:val="008261D2"/>
    <w:rsid w:val="00831B4C"/>
    <w:rsid w:val="00832361"/>
    <w:rsid w:val="008336BE"/>
    <w:rsid w:val="00835495"/>
    <w:rsid w:val="008362CA"/>
    <w:rsid w:val="0083726B"/>
    <w:rsid w:val="008434A6"/>
    <w:rsid w:val="0084358E"/>
    <w:rsid w:val="00844E29"/>
    <w:rsid w:val="00847A03"/>
    <w:rsid w:val="0085084D"/>
    <w:rsid w:val="00850CE6"/>
    <w:rsid w:val="00853CF3"/>
    <w:rsid w:val="008572B2"/>
    <w:rsid w:val="00860A88"/>
    <w:rsid w:val="0086260C"/>
    <w:rsid w:val="00862A94"/>
    <w:rsid w:val="00864A80"/>
    <w:rsid w:val="00866051"/>
    <w:rsid w:val="0087033F"/>
    <w:rsid w:val="00872393"/>
    <w:rsid w:val="008732CC"/>
    <w:rsid w:val="00874AF4"/>
    <w:rsid w:val="00875D0A"/>
    <w:rsid w:val="00876632"/>
    <w:rsid w:val="00880AAD"/>
    <w:rsid w:val="00883761"/>
    <w:rsid w:val="00884AB6"/>
    <w:rsid w:val="00884D80"/>
    <w:rsid w:val="008907FE"/>
    <w:rsid w:val="00890A3F"/>
    <w:rsid w:val="00890C9B"/>
    <w:rsid w:val="00890CBF"/>
    <w:rsid w:val="00891F91"/>
    <w:rsid w:val="00893930"/>
    <w:rsid w:val="00893A85"/>
    <w:rsid w:val="00897E18"/>
    <w:rsid w:val="008A0F55"/>
    <w:rsid w:val="008A1774"/>
    <w:rsid w:val="008A2DA8"/>
    <w:rsid w:val="008A5010"/>
    <w:rsid w:val="008A71A0"/>
    <w:rsid w:val="008A7263"/>
    <w:rsid w:val="008B1311"/>
    <w:rsid w:val="008B31CC"/>
    <w:rsid w:val="008B3D58"/>
    <w:rsid w:val="008B456C"/>
    <w:rsid w:val="008B5DE1"/>
    <w:rsid w:val="008C1826"/>
    <w:rsid w:val="008C7679"/>
    <w:rsid w:val="008C77C7"/>
    <w:rsid w:val="008D0396"/>
    <w:rsid w:val="008D150F"/>
    <w:rsid w:val="008D3566"/>
    <w:rsid w:val="008D3BC0"/>
    <w:rsid w:val="008D5D6B"/>
    <w:rsid w:val="008E06D9"/>
    <w:rsid w:val="008E1564"/>
    <w:rsid w:val="008E2674"/>
    <w:rsid w:val="008E37E8"/>
    <w:rsid w:val="008F00BD"/>
    <w:rsid w:val="008F2ED5"/>
    <w:rsid w:val="008F4656"/>
    <w:rsid w:val="008F696E"/>
    <w:rsid w:val="009000C9"/>
    <w:rsid w:val="00903656"/>
    <w:rsid w:val="009062ED"/>
    <w:rsid w:val="0090775D"/>
    <w:rsid w:val="00907B70"/>
    <w:rsid w:val="00910992"/>
    <w:rsid w:val="00910D8E"/>
    <w:rsid w:val="00912F17"/>
    <w:rsid w:val="009135A8"/>
    <w:rsid w:val="0091667F"/>
    <w:rsid w:val="00916F7F"/>
    <w:rsid w:val="0091722D"/>
    <w:rsid w:val="00922E34"/>
    <w:rsid w:val="00933100"/>
    <w:rsid w:val="00935C7D"/>
    <w:rsid w:val="009403AD"/>
    <w:rsid w:val="00941279"/>
    <w:rsid w:val="0094277B"/>
    <w:rsid w:val="00951380"/>
    <w:rsid w:val="00955163"/>
    <w:rsid w:val="0096199D"/>
    <w:rsid w:val="00962802"/>
    <w:rsid w:val="00963CDE"/>
    <w:rsid w:val="00965764"/>
    <w:rsid w:val="00965E21"/>
    <w:rsid w:val="00966574"/>
    <w:rsid w:val="00966D72"/>
    <w:rsid w:val="00967371"/>
    <w:rsid w:val="00967678"/>
    <w:rsid w:val="00967B55"/>
    <w:rsid w:val="0097223B"/>
    <w:rsid w:val="009732BA"/>
    <w:rsid w:val="00973FB2"/>
    <w:rsid w:val="009759E8"/>
    <w:rsid w:val="0098148A"/>
    <w:rsid w:val="009859E7"/>
    <w:rsid w:val="00990604"/>
    <w:rsid w:val="00994026"/>
    <w:rsid w:val="009A0390"/>
    <w:rsid w:val="009A2B88"/>
    <w:rsid w:val="009A3159"/>
    <w:rsid w:val="009B0F30"/>
    <w:rsid w:val="009B12D0"/>
    <w:rsid w:val="009B14FE"/>
    <w:rsid w:val="009B4FE2"/>
    <w:rsid w:val="009B5CC6"/>
    <w:rsid w:val="009B7417"/>
    <w:rsid w:val="009B7C85"/>
    <w:rsid w:val="009C0391"/>
    <w:rsid w:val="009C2014"/>
    <w:rsid w:val="009C3C09"/>
    <w:rsid w:val="009D0B7A"/>
    <w:rsid w:val="009D12CD"/>
    <w:rsid w:val="009D2572"/>
    <w:rsid w:val="009D66B4"/>
    <w:rsid w:val="009D6A73"/>
    <w:rsid w:val="009D72C8"/>
    <w:rsid w:val="009E000B"/>
    <w:rsid w:val="009E05C6"/>
    <w:rsid w:val="009E07D2"/>
    <w:rsid w:val="009E1E7A"/>
    <w:rsid w:val="009E7346"/>
    <w:rsid w:val="009E734D"/>
    <w:rsid w:val="009E74EA"/>
    <w:rsid w:val="009F31D9"/>
    <w:rsid w:val="009F3504"/>
    <w:rsid w:val="009F3652"/>
    <w:rsid w:val="009F7656"/>
    <w:rsid w:val="00A013BF"/>
    <w:rsid w:val="00A0163A"/>
    <w:rsid w:val="00A04070"/>
    <w:rsid w:val="00A07139"/>
    <w:rsid w:val="00A07A4E"/>
    <w:rsid w:val="00A11040"/>
    <w:rsid w:val="00A14F0A"/>
    <w:rsid w:val="00A202A7"/>
    <w:rsid w:val="00A24DAB"/>
    <w:rsid w:val="00A253EA"/>
    <w:rsid w:val="00A32E00"/>
    <w:rsid w:val="00A415C6"/>
    <w:rsid w:val="00A42934"/>
    <w:rsid w:val="00A4462B"/>
    <w:rsid w:val="00A45152"/>
    <w:rsid w:val="00A45C57"/>
    <w:rsid w:val="00A4688B"/>
    <w:rsid w:val="00A5460F"/>
    <w:rsid w:val="00A57DE7"/>
    <w:rsid w:val="00A63A13"/>
    <w:rsid w:val="00A65FF8"/>
    <w:rsid w:val="00A70328"/>
    <w:rsid w:val="00A72678"/>
    <w:rsid w:val="00A73AFF"/>
    <w:rsid w:val="00A75116"/>
    <w:rsid w:val="00A751AA"/>
    <w:rsid w:val="00A77308"/>
    <w:rsid w:val="00A8711E"/>
    <w:rsid w:val="00A908AC"/>
    <w:rsid w:val="00A92E6A"/>
    <w:rsid w:val="00A948B3"/>
    <w:rsid w:val="00A95E92"/>
    <w:rsid w:val="00A968CA"/>
    <w:rsid w:val="00AA0831"/>
    <w:rsid w:val="00AA1DC0"/>
    <w:rsid w:val="00AA5F43"/>
    <w:rsid w:val="00AA6D09"/>
    <w:rsid w:val="00AB3318"/>
    <w:rsid w:val="00AC1DE5"/>
    <w:rsid w:val="00AC1F67"/>
    <w:rsid w:val="00AC2AB4"/>
    <w:rsid w:val="00AC6562"/>
    <w:rsid w:val="00AC7FA4"/>
    <w:rsid w:val="00AD23B4"/>
    <w:rsid w:val="00AD26BF"/>
    <w:rsid w:val="00AD2E2E"/>
    <w:rsid w:val="00AD2FED"/>
    <w:rsid w:val="00AD419E"/>
    <w:rsid w:val="00AD440D"/>
    <w:rsid w:val="00AD75F3"/>
    <w:rsid w:val="00AE01CA"/>
    <w:rsid w:val="00AE14E2"/>
    <w:rsid w:val="00AE3076"/>
    <w:rsid w:val="00AE3443"/>
    <w:rsid w:val="00AE6B72"/>
    <w:rsid w:val="00AE79A2"/>
    <w:rsid w:val="00AF1F26"/>
    <w:rsid w:val="00AF1FDD"/>
    <w:rsid w:val="00AF3526"/>
    <w:rsid w:val="00AF5A63"/>
    <w:rsid w:val="00AF7A1A"/>
    <w:rsid w:val="00B00346"/>
    <w:rsid w:val="00B01708"/>
    <w:rsid w:val="00B03A14"/>
    <w:rsid w:val="00B044E7"/>
    <w:rsid w:val="00B10BF2"/>
    <w:rsid w:val="00B11761"/>
    <w:rsid w:val="00B1409A"/>
    <w:rsid w:val="00B205E1"/>
    <w:rsid w:val="00B20B90"/>
    <w:rsid w:val="00B21148"/>
    <w:rsid w:val="00B2142B"/>
    <w:rsid w:val="00B2258F"/>
    <w:rsid w:val="00B228F7"/>
    <w:rsid w:val="00B231AA"/>
    <w:rsid w:val="00B23AD5"/>
    <w:rsid w:val="00B27639"/>
    <w:rsid w:val="00B30BF5"/>
    <w:rsid w:val="00B319E9"/>
    <w:rsid w:val="00B31BA2"/>
    <w:rsid w:val="00B32089"/>
    <w:rsid w:val="00B338A8"/>
    <w:rsid w:val="00B404B4"/>
    <w:rsid w:val="00B428B3"/>
    <w:rsid w:val="00B4375A"/>
    <w:rsid w:val="00B46C45"/>
    <w:rsid w:val="00B51F96"/>
    <w:rsid w:val="00B5282C"/>
    <w:rsid w:val="00B52F1F"/>
    <w:rsid w:val="00B57A9F"/>
    <w:rsid w:val="00B6092B"/>
    <w:rsid w:val="00B66DB7"/>
    <w:rsid w:val="00B71188"/>
    <w:rsid w:val="00B7194E"/>
    <w:rsid w:val="00B71A4C"/>
    <w:rsid w:val="00B75489"/>
    <w:rsid w:val="00B76D5E"/>
    <w:rsid w:val="00B772CA"/>
    <w:rsid w:val="00B8011C"/>
    <w:rsid w:val="00B80621"/>
    <w:rsid w:val="00B95969"/>
    <w:rsid w:val="00B9630F"/>
    <w:rsid w:val="00BA15C4"/>
    <w:rsid w:val="00BA4548"/>
    <w:rsid w:val="00BA46CB"/>
    <w:rsid w:val="00BA536E"/>
    <w:rsid w:val="00BA61D1"/>
    <w:rsid w:val="00BA6CB2"/>
    <w:rsid w:val="00BA6E05"/>
    <w:rsid w:val="00BA7D7C"/>
    <w:rsid w:val="00BA7F1C"/>
    <w:rsid w:val="00BB27BA"/>
    <w:rsid w:val="00BB3487"/>
    <w:rsid w:val="00BB459A"/>
    <w:rsid w:val="00BB4709"/>
    <w:rsid w:val="00BB5C9B"/>
    <w:rsid w:val="00BB62F7"/>
    <w:rsid w:val="00BC1873"/>
    <w:rsid w:val="00BC3880"/>
    <w:rsid w:val="00BC4ADE"/>
    <w:rsid w:val="00BC52C6"/>
    <w:rsid w:val="00BC54A9"/>
    <w:rsid w:val="00BC55AA"/>
    <w:rsid w:val="00BD2077"/>
    <w:rsid w:val="00BD28C9"/>
    <w:rsid w:val="00BD3174"/>
    <w:rsid w:val="00BD3FE1"/>
    <w:rsid w:val="00BD6EDB"/>
    <w:rsid w:val="00BD701A"/>
    <w:rsid w:val="00BD7AD4"/>
    <w:rsid w:val="00BD7B6F"/>
    <w:rsid w:val="00BE111C"/>
    <w:rsid w:val="00BE4EBD"/>
    <w:rsid w:val="00BE6EFE"/>
    <w:rsid w:val="00BE701D"/>
    <w:rsid w:val="00BF4B49"/>
    <w:rsid w:val="00BF6DF5"/>
    <w:rsid w:val="00BF79DE"/>
    <w:rsid w:val="00C02E75"/>
    <w:rsid w:val="00C02EC2"/>
    <w:rsid w:val="00C07D88"/>
    <w:rsid w:val="00C151B9"/>
    <w:rsid w:val="00C16107"/>
    <w:rsid w:val="00C17AF0"/>
    <w:rsid w:val="00C208EA"/>
    <w:rsid w:val="00C21A27"/>
    <w:rsid w:val="00C2283A"/>
    <w:rsid w:val="00C252EF"/>
    <w:rsid w:val="00C25C43"/>
    <w:rsid w:val="00C2753A"/>
    <w:rsid w:val="00C27E34"/>
    <w:rsid w:val="00C31AA4"/>
    <w:rsid w:val="00C32655"/>
    <w:rsid w:val="00C34B83"/>
    <w:rsid w:val="00C357D5"/>
    <w:rsid w:val="00C37FEE"/>
    <w:rsid w:val="00C40751"/>
    <w:rsid w:val="00C419B4"/>
    <w:rsid w:val="00C424C5"/>
    <w:rsid w:val="00C42C58"/>
    <w:rsid w:val="00C441BE"/>
    <w:rsid w:val="00C4787C"/>
    <w:rsid w:val="00C5015B"/>
    <w:rsid w:val="00C512D6"/>
    <w:rsid w:val="00C52FD6"/>
    <w:rsid w:val="00C54B84"/>
    <w:rsid w:val="00C55739"/>
    <w:rsid w:val="00C61C07"/>
    <w:rsid w:val="00C7162F"/>
    <w:rsid w:val="00C745E1"/>
    <w:rsid w:val="00C75DDB"/>
    <w:rsid w:val="00C82B1B"/>
    <w:rsid w:val="00C902D2"/>
    <w:rsid w:val="00C909B3"/>
    <w:rsid w:val="00C920BB"/>
    <w:rsid w:val="00C92BC6"/>
    <w:rsid w:val="00C9359E"/>
    <w:rsid w:val="00C93F26"/>
    <w:rsid w:val="00C94AC5"/>
    <w:rsid w:val="00C9623A"/>
    <w:rsid w:val="00CA4B59"/>
    <w:rsid w:val="00CA53F8"/>
    <w:rsid w:val="00CA6CC7"/>
    <w:rsid w:val="00CB2098"/>
    <w:rsid w:val="00CB4715"/>
    <w:rsid w:val="00CB4795"/>
    <w:rsid w:val="00CB47F8"/>
    <w:rsid w:val="00CC1BF8"/>
    <w:rsid w:val="00CC2982"/>
    <w:rsid w:val="00CC3C40"/>
    <w:rsid w:val="00CC605E"/>
    <w:rsid w:val="00CC6E60"/>
    <w:rsid w:val="00CD1A34"/>
    <w:rsid w:val="00CD3A81"/>
    <w:rsid w:val="00CD4793"/>
    <w:rsid w:val="00CD6001"/>
    <w:rsid w:val="00CD61D0"/>
    <w:rsid w:val="00CE0D9A"/>
    <w:rsid w:val="00CE2379"/>
    <w:rsid w:val="00CE2602"/>
    <w:rsid w:val="00CE2836"/>
    <w:rsid w:val="00CE5139"/>
    <w:rsid w:val="00CE5BEA"/>
    <w:rsid w:val="00CE6C54"/>
    <w:rsid w:val="00CE75E4"/>
    <w:rsid w:val="00CF08C2"/>
    <w:rsid w:val="00CF2582"/>
    <w:rsid w:val="00CF2986"/>
    <w:rsid w:val="00CF498D"/>
    <w:rsid w:val="00D02041"/>
    <w:rsid w:val="00D020C1"/>
    <w:rsid w:val="00D031FA"/>
    <w:rsid w:val="00D03E98"/>
    <w:rsid w:val="00D042D5"/>
    <w:rsid w:val="00D04A4D"/>
    <w:rsid w:val="00D066C5"/>
    <w:rsid w:val="00D1064A"/>
    <w:rsid w:val="00D16916"/>
    <w:rsid w:val="00D202B5"/>
    <w:rsid w:val="00D217B7"/>
    <w:rsid w:val="00D21A23"/>
    <w:rsid w:val="00D22B12"/>
    <w:rsid w:val="00D2326D"/>
    <w:rsid w:val="00D257AC"/>
    <w:rsid w:val="00D3179C"/>
    <w:rsid w:val="00D31839"/>
    <w:rsid w:val="00D31C4D"/>
    <w:rsid w:val="00D3492E"/>
    <w:rsid w:val="00D367A3"/>
    <w:rsid w:val="00D36C11"/>
    <w:rsid w:val="00D374A9"/>
    <w:rsid w:val="00D41B54"/>
    <w:rsid w:val="00D4259D"/>
    <w:rsid w:val="00D44710"/>
    <w:rsid w:val="00D45A65"/>
    <w:rsid w:val="00D46DF2"/>
    <w:rsid w:val="00D4700C"/>
    <w:rsid w:val="00D479EE"/>
    <w:rsid w:val="00D52801"/>
    <w:rsid w:val="00D55B0F"/>
    <w:rsid w:val="00D5610D"/>
    <w:rsid w:val="00D5676B"/>
    <w:rsid w:val="00D57066"/>
    <w:rsid w:val="00D60E0B"/>
    <w:rsid w:val="00D66591"/>
    <w:rsid w:val="00D7072E"/>
    <w:rsid w:val="00D70BDE"/>
    <w:rsid w:val="00D77CAF"/>
    <w:rsid w:val="00D8267E"/>
    <w:rsid w:val="00D91AE5"/>
    <w:rsid w:val="00D920A6"/>
    <w:rsid w:val="00D9328F"/>
    <w:rsid w:val="00D94FAB"/>
    <w:rsid w:val="00D95A65"/>
    <w:rsid w:val="00DA030E"/>
    <w:rsid w:val="00DA5AC3"/>
    <w:rsid w:val="00DB34C3"/>
    <w:rsid w:val="00DB3C98"/>
    <w:rsid w:val="00DB44C7"/>
    <w:rsid w:val="00DB6858"/>
    <w:rsid w:val="00DC0419"/>
    <w:rsid w:val="00DC0591"/>
    <w:rsid w:val="00DC17C5"/>
    <w:rsid w:val="00DC6590"/>
    <w:rsid w:val="00DC7604"/>
    <w:rsid w:val="00DD207B"/>
    <w:rsid w:val="00DD5821"/>
    <w:rsid w:val="00DD6609"/>
    <w:rsid w:val="00DD6BA0"/>
    <w:rsid w:val="00DD7FB5"/>
    <w:rsid w:val="00DE1C81"/>
    <w:rsid w:val="00DE1CEE"/>
    <w:rsid w:val="00DE2A4C"/>
    <w:rsid w:val="00DF3D1C"/>
    <w:rsid w:val="00DF5111"/>
    <w:rsid w:val="00DF67A8"/>
    <w:rsid w:val="00E0286B"/>
    <w:rsid w:val="00E04CA1"/>
    <w:rsid w:val="00E050EB"/>
    <w:rsid w:val="00E064E4"/>
    <w:rsid w:val="00E1102F"/>
    <w:rsid w:val="00E15C5B"/>
    <w:rsid w:val="00E16070"/>
    <w:rsid w:val="00E173B3"/>
    <w:rsid w:val="00E20C3F"/>
    <w:rsid w:val="00E21262"/>
    <w:rsid w:val="00E21E0E"/>
    <w:rsid w:val="00E223DA"/>
    <w:rsid w:val="00E223FC"/>
    <w:rsid w:val="00E22A24"/>
    <w:rsid w:val="00E26A26"/>
    <w:rsid w:val="00E31D9D"/>
    <w:rsid w:val="00E3245A"/>
    <w:rsid w:val="00E32E74"/>
    <w:rsid w:val="00E34D47"/>
    <w:rsid w:val="00E359DA"/>
    <w:rsid w:val="00E37B88"/>
    <w:rsid w:val="00E403AF"/>
    <w:rsid w:val="00E45753"/>
    <w:rsid w:val="00E46711"/>
    <w:rsid w:val="00E53E91"/>
    <w:rsid w:val="00E559F4"/>
    <w:rsid w:val="00E560AD"/>
    <w:rsid w:val="00E56C25"/>
    <w:rsid w:val="00E6036C"/>
    <w:rsid w:val="00E60525"/>
    <w:rsid w:val="00E618D5"/>
    <w:rsid w:val="00E626A2"/>
    <w:rsid w:val="00E63363"/>
    <w:rsid w:val="00E6588C"/>
    <w:rsid w:val="00E65C14"/>
    <w:rsid w:val="00E711C5"/>
    <w:rsid w:val="00E7559A"/>
    <w:rsid w:val="00E76570"/>
    <w:rsid w:val="00E76F98"/>
    <w:rsid w:val="00E7754E"/>
    <w:rsid w:val="00E87441"/>
    <w:rsid w:val="00E9190E"/>
    <w:rsid w:val="00E93803"/>
    <w:rsid w:val="00E946A0"/>
    <w:rsid w:val="00EA0C17"/>
    <w:rsid w:val="00EA22D7"/>
    <w:rsid w:val="00EA3693"/>
    <w:rsid w:val="00EA44C5"/>
    <w:rsid w:val="00EA5EA5"/>
    <w:rsid w:val="00EA62BA"/>
    <w:rsid w:val="00EA74B5"/>
    <w:rsid w:val="00EB2151"/>
    <w:rsid w:val="00EB4655"/>
    <w:rsid w:val="00EB4AAC"/>
    <w:rsid w:val="00EB6096"/>
    <w:rsid w:val="00EB6349"/>
    <w:rsid w:val="00EB6D24"/>
    <w:rsid w:val="00EB782B"/>
    <w:rsid w:val="00EB7954"/>
    <w:rsid w:val="00EC0795"/>
    <w:rsid w:val="00EC110F"/>
    <w:rsid w:val="00EC15E4"/>
    <w:rsid w:val="00EC1E30"/>
    <w:rsid w:val="00EC238E"/>
    <w:rsid w:val="00EC3F22"/>
    <w:rsid w:val="00ED0044"/>
    <w:rsid w:val="00ED34EC"/>
    <w:rsid w:val="00ED415B"/>
    <w:rsid w:val="00ED491F"/>
    <w:rsid w:val="00ED78D4"/>
    <w:rsid w:val="00EE1215"/>
    <w:rsid w:val="00EE360E"/>
    <w:rsid w:val="00EE5F60"/>
    <w:rsid w:val="00EE66B9"/>
    <w:rsid w:val="00EF12C5"/>
    <w:rsid w:val="00EF75E0"/>
    <w:rsid w:val="00F07B41"/>
    <w:rsid w:val="00F10E78"/>
    <w:rsid w:val="00F10E87"/>
    <w:rsid w:val="00F11079"/>
    <w:rsid w:val="00F11EC5"/>
    <w:rsid w:val="00F12958"/>
    <w:rsid w:val="00F13F13"/>
    <w:rsid w:val="00F143C7"/>
    <w:rsid w:val="00F2144F"/>
    <w:rsid w:val="00F21CD9"/>
    <w:rsid w:val="00F302E7"/>
    <w:rsid w:val="00F308FF"/>
    <w:rsid w:val="00F355C2"/>
    <w:rsid w:val="00F36D38"/>
    <w:rsid w:val="00F37893"/>
    <w:rsid w:val="00F37F20"/>
    <w:rsid w:val="00F41D88"/>
    <w:rsid w:val="00F4239F"/>
    <w:rsid w:val="00F43401"/>
    <w:rsid w:val="00F43553"/>
    <w:rsid w:val="00F4386A"/>
    <w:rsid w:val="00F44203"/>
    <w:rsid w:val="00F44637"/>
    <w:rsid w:val="00F4480D"/>
    <w:rsid w:val="00F457A9"/>
    <w:rsid w:val="00F4780A"/>
    <w:rsid w:val="00F51573"/>
    <w:rsid w:val="00F52488"/>
    <w:rsid w:val="00F544D9"/>
    <w:rsid w:val="00F55F78"/>
    <w:rsid w:val="00F56AD8"/>
    <w:rsid w:val="00F57E28"/>
    <w:rsid w:val="00F60C57"/>
    <w:rsid w:val="00F630D9"/>
    <w:rsid w:val="00F64807"/>
    <w:rsid w:val="00F6568B"/>
    <w:rsid w:val="00F65CE4"/>
    <w:rsid w:val="00F814D5"/>
    <w:rsid w:val="00F8720F"/>
    <w:rsid w:val="00F87643"/>
    <w:rsid w:val="00F92CB6"/>
    <w:rsid w:val="00F93510"/>
    <w:rsid w:val="00F942C8"/>
    <w:rsid w:val="00F9549C"/>
    <w:rsid w:val="00FA0A05"/>
    <w:rsid w:val="00FA15AD"/>
    <w:rsid w:val="00FA2FBF"/>
    <w:rsid w:val="00FA3204"/>
    <w:rsid w:val="00FA3976"/>
    <w:rsid w:val="00FB2878"/>
    <w:rsid w:val="00FB3F68"/>
    <w:rsid w:val="00FB6D7F"/>
    <w:rsid w:val="00FB7585"/>
    <w:rsid w:val="00FB75ED"/>
    <w:rsid w:val="00FC349F"/>
    <w:rsid w:val="00FC3938"/>
    <w:rsid w:val="00FC6CC9"/>
    <w:rsid w:val="00FC714C"/>
    <w:rsid w:val="00FC7708"/>
    <w:rsid w:val="00FD275D"/>
    <w:rsid w:val="00FD68C4"/>
    <w:rsid w:val="00FD6A91"/>
    <w:rsid w:val="00FD7F47"/>
    <w:rsid w:val="00FE06D2"/>
    <w:rsid w:val="00FE0F4D"/>
    <w:rsid w:val="00FE12D4"/>
    <w:rsid w:val="00FE28A3"/>
    <w:rsid w:val="00FE2A44"/>
    <w:rsid w:val="00FE413B"/>
    <w:rsid w:val="00FE5A57"/>
    <w:rsid w:val="00FE662D"/>
    <w:rsid w:val="00FE6907"/>
    <w:rsid w:val="00FF02DE"/>
    <w:rsid w:val="00FF1FA1"/>
    <w:rsid w:val="00FF5197"/>
    <w:rsid w:val="00FF7F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7"/>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6"/>
      </w:numPr>
      <w:spacing w:before="120" w:line="276" w:lineRule="auto"/>
    </w:pPr>
    <w:rPr>
      <w:sz w:val="22"/>
      <w:szCs w:val="22"/>
    </w:rPr>
  </w:style>
  <w:style w:type="paragraph" w:customStyle="1" w:styleId="SR">
    <w:name w:val="*SR*"/>
    <w:link w:val="SRChar"/>
    <w:qFormat/>
    <w:rsid w:val="00F21CD9"/>
    <w:pPr>
      <w:numPr>
        <w:numId w:val="5"/>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9"/>
      </w:numPr>
    </w:pPr>
  </w:style>
  <w:style w:type="character" w:customStyle="1" w:styleId="SubStandardChar">
    <w:name w:val="*SubStandard Char"/>
    <w:basedOn w:val="TableTextChar"/>
    <w:link w:val="SubStandard"/>
    <w:rsid w:val="00CF498D"/>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s>
</file>

<file path=word/webSettings.xml><?xml version="1.0" encoding="utf-8"?>
<w:webSettings xmlns:r="http://schemas.openxmlformats.org/officeDocument/2006/relationships" xmlns:w="http://schemas.openxmlformats.org/wordprocessingml/2006/main">
  <w:divs>
    <w:div w:id="25328515">
      <w:bodyDiv w:val="1"/>
      <w:marLeft w:val="0"/>
      <w:marRight w:val="0"/>
      <w:marTop w:val="0"/>
      <w:marBottom w:val="0"/>
      <w:divBdr>
        <w:top w:val="none" w:sz="0" w:space="0" w:color="auto"/>
        <w:left w:val="none" w:sz="0" w:space="0" w:color="auto"/>
        <w:bottom w:val="none" w:sz="0" w:space="0" w:color="auto"/>
        <w:right w:val="none" w:sz="0" w:space="0" w:color="auto"/>
      </w:divBdr>
    </w:div>
    <w:div w:id="79714958">
      <w:bodyDiv w:val="1"/>
      <w:marLeft w:val="0"/>
      <w:marRight w:val="0"/>
      <w:marTop w:val="0"/>
      <w:marBottom w:val="0"/>
      <w:divBdr>
        <w:top w:val="none" w:sz="0" w:space="0" w:color="auto"/>
        <w:left w:val="none" w:sz="0" w:space="0" w:color="auto"/>
        <w:bottom w:val="none" w:sz="0" w:space="0" w:color="auto"/>
        <w:right w:val="none" w:sz="0" w:space="0" w:color="auto"/>
      </w:divBdr>
    </w:div>
    <w:div w:id="189299697">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91146891">
      <w:bodyDiv w:val="1"/>
      <w:marLeft w:val="0"/>
      <w:marRight w:val="0"/>
      <w:marTop w:val="0"/>
      <w:marBottom w:val="0"/>
      <w:divBdr>
        <w:top w:val="none" w:sz="0" w:space="0" w:color="auto"/>
        <w:left w:val="none" w:sz="0" w:space="0" w:color="auto"/>
        <w:bottom w:val="none" w:sz="0" w:space="0" w:color="auto"/>
        <w:right w:val="none" w:sz="0" w:space="0" w:color="auto"/>
      </w:divBdr>
    </w:div>
    <w:div w:id="559366282">
      <w:bodyDiv w:val="1"/>
      <w:marLeft w:val="0"/>
      <w:marRight w:val="0"/>
      <w:marTop w:val="0"/>
      <w:marBottom w:val="0"/>
      <w:divBdr>
        <w:top w:val="none" w:sz="0" w:space="0" w:color="auto"/>
        <w:left w:val="none" w:sz="0" w:space="0" w:color="auto"/>
        <w:bottom w:val="none" w:sz="0" w:space="0" w:color="auto"/>
        <w:right w:val="none" w:sz="0" w:space="0" w:color="auto"/>
      </w:divBdr>
    </w:div>
    <w:div w:id="678120897">
      <w:bodyDiv w:val="1"/>
      <w:marLeft w:val="0"/>
      <w:marRight w:val="0"/>
      <w:marTop w:val="0"/>
      <w:marBottom w:val="0"/>
      <w:divBdr>
        <w:top w:val="none" w:sz="0" w:space="0" w:color="auto"/>
        <w:left w:val="none" w:sz="0" w:space="0" w:color="auto"/>
        <w:bottom w:val="none" w:sz="0" w:space="0" w:color="auto"/>
        <w:right w:val="none" w:sz="0" w:space="0" w:color="auto"/>
      </w:divBdr>
    </w:div>
    <w:div w:id="685445498">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50532775">
      <w:bodyDiv w:val="1"/>
      <w:marLeft w:val="0"/>
      <w:marRight w:val="0"/>
      <w:marTop w:val="0"/>
      <w:marBottom w:val="0"/>
      <w:divBdr>
        <w:top w:val="none" w:sz="0" w:space="0" w:color="auto"/>
        <w:left w:val="none" w:sz="0" w:space="0" w:color="auto"/>
        <w:bottom w:val="none" w:sz="0" w:space="0" w:color="auto"/>
        <w:right w:val="none" w:sz="0" w:space="0" w:color="auto"/>
      </w:divBdr>
    </w:div>
    <w:div w:id="865102156">
      <w:bodyDiv w:val="1"/>
      <w:marLeft w:val="0"/>
      <w:marRight w:val="0"/>
      <w:marTop w:val="0"/>
      <w:marBottom w:val="0"/>
      <w:divBdr>
        <w:top w:val="none" w:sz="0" w:space="0" w:color="auto"/>
        <w:left w:val="none" w:sz="0" w:space="0" w:color="auto"/>
        <w:bottom w:val="none" w:sz="0" w:space="0" w:color="auto"/>
        <w:right w:val="none" w:sz="0" w:space="0" w:color="auto"/>
      </w:divBdr>
    </w:div>
    <w:div w:id="953484803">
      <w:bodyDiv w:val="1"/>
      <w:marLeft w:val="0"/>
      <w:marRight w:val="0"/>
      <w:marTop w:val="0"/>
      <w:marBottom w:val="0"/>
      <w:divBdr>
        <w:top w:val="none" w:sz="0" w:space="0" w:color="auto"/>
        <w:left w:val="none" w:sz="0" w:space="0" w:color="auto"/>
        <w:bottom w:val="none" w:sz="0" w:space="0" w:color="auto"/>
        <w:right w:val="none" w:sz="0" w:space="0" w:color="auto"/>
      </w:divBdr>
    </w:div>
    <w:div w:id="1350327977">
      <w:bodyDiv w:val="1"/>
      <w:marLeft w:val="0"/>
      <w:marRight w:val="0"/>
      <w:marTop w:val="0"/>
      <w:marBottom w:val="0"/>
      <w:divBdr>
        <w:top w:val="none" w:sz="0" w:space="0" w:color="auto"/>
        <w:left w:val="none" w:sz="0" w:space="0" w:color="auto"/>
        <w:bottom w:val="none" w:sz="0" w:space="0" w:color="auto"/>
        <w:right w:val="none" w:sz="0" w:space="0" w:color="auto"/>
      </w:divBdr>
    </w:div>
    <w:div w:id="1459445620">
      <w:bodyDiv w:val="1"/>
      <w:marLeft w:val="0"/>
      <w:marRight w:val="0"/>
      <w:marTop w:val="0"/>
      <w:marBottom w:val="0"/>
      <w:divBdr>
        <w:top w:val="none" w:sz="0" w:space="0" w:color="auto"/>
        <w:left w:val="none" w:sz="0" w:space="0" w:color="auto"/>
        <w:bottom w:val="none" w:sz="0" w:space="0" w:color="auto"/>
        <w:right w:val="none" w:sz="0" w:space="0" w:color="auto"/>
      </w:divBdr>
    </w:div>
    <w:div w:id="1460370695">
      <w:bodyDiv w:val="1"/>
      <w:marLeft w:val="0"/>
      <w:marRight w:val="0"/>
      <w:marTop w:val="0"/>
      <w:marBottom w:val="0"/>
      <w:divBdr>
        <w:top w:val="none" w:sz="0" w:space="0" w:color="auto"/>
        <w:left w:val="none" w:sz="0" w:space="0" w:color="auto"/>
        <w:bottom w:val="none" w:sz="0" w:space="0" w:color="auto"/>
        <w:right w:val="none" w:sz="0" w:space="0" w:color="auto"/>
      </w:divBdr>
    </w:div>
    <w:div w:id="1512525996">
      <w:bodyDiv w:val="1"/>
      <w:marLeft w:val="0"/>
      <w:marRight w:val="0"/>
      <w:marTop w:val="0"/>
      <w:marBottom w:val="0"/>
      <w:divBdr>
        <w:top w:val="none" w:sz="0" w:space="0" w:color="auto"/>
        <w:left w:val="none" w:sz="0" w:space="0" w:color="auto"/>
        <w:bottom w:val="none" w:sz="0" w:space="0" w:color="auto"/>
        <w:right w:val="none" w:sz="0" w:space="0" w:color="auto"/>
      </w:divBdr>
    </w:div>
    <w:div w:id="1685932778">
      <w:bodyDiv w:val="1"/>
      <w:marLeft w:val="0"/>
      <w:marRight w:val="0"/>
      <w:marTop w:val="0"/>
      <w:marBottom w:val="0"/>
      <w:divBdr>
        <w:top w:val="none" w:sz="0" w:space="0" w:color="auto"/>
        <w:left w:val="none" w:sz="0" w:space="0" w:color="auto"/>
        <w:bottom w:val="none" w:sz="0" w:space="0" w:color="auto"/>
        <w:right w:val="none" w:sz="0" w:space="0" w:color="auto"/>
      </w:divBdr>
    </w:div>
    <w:div w:id="1776515184">
      <w:bodyDiv w:val="1"/>
      <w:marLeft w:val="0"/>
      <w:marRight w:val="0"/>
      <w:marTop w:val="0"/>
      <w:marBottom w:val="0"/>
      <w:divBdr>
        <w:top w:val="none" w:sz="0" w:space="0" w:color="auto"/>
        <w:left w:val="none" w:sz="0" w:space="0" w:color="auto"/>
        <w:bottom w:val="none" w:sz="0" w:space="0" w:color="auto"/>
        <w:right w:val="none" w:sz="0" w:space="0" w:color="auto"/>
      </w:divBdr>
    </w:div>
    <w:div w:id="1807696355">
      <w:bodyDiv w:val="1"/>
      <w:marLeft w:val="0"/>
      <w:marRight w:val="0"/>
      <w:marTop w:val="0"/>
      <w:marBottom w:val="0"/>
      <w:divBdr>
        <w:top w:val="none" w:sz="0" w:space="0" w:color="auto"/>
        <w:left w:val="none" w:sz="0" w:space="0" w:color="auto"/>
        <w:bottom w:val="none" w:sz="0" w:space="0" w:color="auto"/>
        <w:right w:val="none" w:sz="0" w:space="0" w:color="auto"/>
      </w:divBdr>
    </w:div>
    <w:div w:id="1815609823">
      <w:bodyDiv w:val="1"/>
      <w:marLeft w:val="0"/>
      <w:marRight w:val="0"/>
      <w:marTop w:val="0"/>
      <w:marBottom w:val="0"/>
      <w:divBdr>
        <w:top w:val="none" w:sz="0" w:space="0" w:color="auto"/>
        <w:left w:val="none" w:sz="0" w:space="0" w:color="auto"/>
        <w:bottom w:val="none" w:sz="0" w:space="0" w:color="auto"/>
        <w:right w:val="none" w:sz="0" w:space="0" w:color="auto"/>
      </w:divBdr>
    </w:div>
    <w:div w:id="1823541897">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4146805">
      <w:bodyDiv w:val="1"/>
      <w:marLeft w:val="0"/>
      <w:marRight w:val="0"/>
      <w:marTop w:val="0"/>
      <w:marBottom w:val="0"/>
      <w:divBdr>
        <w:top w:val="none" w:sz="0" w:space="0" w:color="auto"/>
        <w:left w:val="none" w:sz="0" w:space="0" w:color="auto"/>
        <w:bottom w:val="none" w:sz="0" w:space="0" w:color="auto"/>
        <w:right w:val="none" w:sz="0" w:space="0" w:color="auto"/>
      </w:divBdr>
    </w:div>
    <w:div w:id="1929995713">
      <w:bodyDiv w:val="1"/>
      <w:marLeft w:val="0"/>
      <w:marRight w:val="0"/>
      <w:marTop w:val="0"/>
      <w:marBottom w:val="0"/>
      <w:divBdr>
        <w:top w:val="none" w:sz="0" w:space="0" w:color="auto"/>
        <w:left w:val="none" w:sz="0" w:space="0" w:color="auto"/>
        <w:bottom w:val="none" w:sz="0" w:space="0" w:color="auto"/>
        <w:right w:val="none" w:sz="0" w:space="0" w:color="auto"/>
      </w:divBdr>
    </w:div>
    <w:div w:id="1932468868">
      <w:bodyDiv w:val="1"/>
      <w:marLeft w:val="0"/>
      <w:marRight w:val="0"/>
      <w:marTop w:val="0"/>
      <w:marBottom w:val="0"/>
      <w:divBdr>
        <w:top w:val="none" w:sz="0" w:space="0" w:color="auto"/>
        <w:left w:val="none" w:sz="0" w:space="0" w:color="auto"/>
        <w:bottom w:val="none" w:sz="0" w:space="0" w:color="auto"/>
        <w:right w:val="none" w:sz="0" w:space="0" w:color="auto"/>
      </w:divBdr>
    </w:div>
    <w:div w:id="1941991038">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10845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documents/ud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multimedia.org/radio/library/classics/detail/1007.html"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DBD5-8B84-4BD5-84F5-C33AA100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21339</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2014-04-09T23:01:00Z</cp:lastPrinted>
  <dcterms:created xsi:type="dcterms:W3CDTF">2014-04-17T23:27:00Z</dcterms:created>
  <dcterms:modified xsi:type="dcterms:W3CDTF">2014-04-17T23:27:00Z</dcterms:modified>
</cp:coreProperties>
</file>