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tblPr>
      <w:tblGrid>
        <w:gridCol w:w="1980"/>
        <w:gridCol w:w="7470"/>
      </w:tblGrid>
      <w:tr w:rsidR="009863A7" w:rsidRPr="00CC29E0" w:rsidTr="009863A7">
        <w:trPr>
          <w:trHeight w:val="1008"/>
        </w:trPr>
        <w:tc>
          <w:tcPr>
            <w:tcW w:w="1980" w:type="dxa"/>
            <w:tcBorders>
              <w:bottom w:val="single" w:sz="18" w:space="0" w:color="FFFFFF" w:themeColor="background1"/>
            </w:tcBorders>
            <w:shd w:val="clear" w:color="auto" w:fill="403152" w:themeFill="accent4" w:themeFillShade="80"/>
            <w:vAlign w:val="center"/>
          </w:tcPr>
          <w:p w:rsidR="009863A7" w:rsidRPr="009863A7" w:rsidRDefault="009863A7" w:rsidP="001E0A16">
            <w:pPr>
              <w:pStyle w:val="Header-banner"/>
            </w:pPr>
            <w:r>
              <w:t>10.2</w:t>
            </w:r>
            <w:r w:rsidRPr="009863A7">
              <w:t>.</w:t>
            </w:r>
            <w:r>
              <w:t>2</w:t>
            </w:r>
          </w:p>
        </w:tc>
        <w:tc>
          <w:tcPr>
            <w:tcW w:w="7470" w:type="dxa"/>
            <w:tcBorders>
              <w:bottom w:val="single" w:sz="18" w:space="0" w:color="FFFFFF" w:themeColor="background1"/>
            </w:tcBorders>
            <w:shd w:val="clear" w:color="auto" w:fill="5F497A" w:themeFill="accent4" w:themeFillShade="BF"/>
            <w:vAlign w:val="center"/>
          </w:tcPr>
          <w:p w:rsidR="009863A7" w:rsidRPr="009863A7" w:rsidRDefault="009863A7" w:rsidP="009863A7">
            <w:pPr>
              <w:pStyle w:val="Header2banner"/>
            </w:pPr>
            <w:r w:rsidRPr="009863A7">
              <w:t>Unit Overview</w:t>
            </w:r>
          </w:p>
        </w:tc>
      </w:tr>
      <w:tr w:rsidR="009863A7" w:rsidRPr="00CC29E0" w:rsidTr="009863A7">
        <w:trPr>
          <w:trHeight w:val="720"/>
        </w:trPr>
        <w:tc>
          <w:tcPr>
            <w:tcW w:w="94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rsidR="009863A7" w:rsidRPr="009863A7" w:rsidRDefault="009863A7" w:rsidP="009863A7">
            <w:pPr>
              <w:pStyle w:val="Heading1nospace"/>
              <w:rPr>
                <w:rFonts w:asciiTheme="majorHAnsi" w:hAnsiTheme="majorHAnsi"/>
                <w:color w:val="403152" w:themeColor="accent4" w:themeShade="80"/>
              </w:rPr>
            </w:pPr>
            <w:r w:rsidRPr="009863A7">
              <w:rPr>
                <w:rFonts w:asciiTheme="majorHAnsi" w:hAnsiTheme="majorHAnsi"/>
              </w:rPr>
              <w:t>“</w:t>
            </w:r>
            <w:r>
              <w:rPr>
                <w:rFonts w:asciiTheme="majorHAnsi" w:hAnsiTheme="majorHAnsi"/>
              </w:rPr>
              <w:t>No flies fly into a closed mouth</w:t>
            </w:r>
            <w:r w:rsidRPr="009863A7">
              <w:rPr>
                <w:rFonts w:asciiTheme="majorHAnsi" w:hAnsiTheme="majorHAnsi"/>
              </w:rPr>
              <w:t>”</w:t>
            </w:r>
          </w:p>
        </w:tc>
      </w:tr>
      <w:tr w:rsidR="009863A7" w:rsidRPr="003539A7" w:rsidTr="009863A7">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tcPr>
          <w:p w:rsidR="009863A7" w:rsidRPr="009863A7" w:rsidRDefault="009863A7" w:rsidP="009863A7">
            <w:pPr>
              <w:rPr>
                <w:rFonts w:asciiTheme="majorHAnsi" w:hAnsiTheme="majorHAnsi"/>
                <w:b/>
                <w:color w:val="244061" w:themeColor="accent1" w:themeShade="80"/>
              </w:rPr>
            </w:pPr>
            <w:r w:rsidRPr="009863A7">
              <w:rPr>
                <w:rFonts w:asciiTheme="majorHAnsi" w:hAnsiTheme="majorHAnsi"/>
                <w:b/>
                <w:color w:val="244061" w:themeColor="accent1" w:themeShade="80"/>
              </w:rPr>
              <w:t>Text(s)</w:t>
            </w:r>
          </w:p>
        </w:tc>
        <w:tc>
          <w:tcPr>
            <w:tcW w:w="7470" w:type="dxa"/>
            <w:tcBorders>
              <w:top w:val="single" w:sz="8" w:space="0" w:color="403152" w:themeColor="accent4" w:themeShade="80"/>
              <w:bottom w:val="single" w:sz="8" w:space="0" w:color="403152" w:themeColor="accent4" w:themeShade="80"/>
            </w:tcBorders>
            <w:shd w:val="solid" w:color="F2F2F2" w:themeColor="background1" w:themeShade="F2" w:fill="auto"/>
          </w:tcPr>
          <w:p w:rsidR="009863A7" w:rsidRDefault="00E34F80" w:rsidP="009863A7">
            <w:pPr>
              <w:rPr>
                <w:rFonts w:asciiTheme="majorHAnsi" w:hAnsiTheme="majorHAnsi"/>
              </w:rPr>
            </w:pPr>
            <w:r>
              <w:rPr>
                <w:rFonts w:asciiTheme="majorHAnsi" w:hAnsiTheme="majorHAnsi"/>
              </w:rPr>
              <w:t>“A Genetics of Justice” by Julia Alvarez</w:t>
            </w:r>
          </w:p>
          <w:p w:rsidR="00E34F80" w:rsidRPr="009863A7" w:rsidRDefault="00E34F80" w:rsidP="009863A7">
            <w:pPr>
              <w:rPr>
                <w:rFonts w:asciiTheme="majorHAnsi" w:hAnsiTheme="majorHAnsi"/>
              </w:rPr>
            </w:pPr>
            <w:r>
              <w:rPr>
                <w:rFonts w:asciiTheme="majorHAnsi" w:hAnsiTheme="majorHAnsi"/>
              </w:rPr>
              <w:t xml:space="preserve">“Remembering To Never Forget” by Mark </w:t>
            </w:r>
            <w:proofErr w:type="spellStart"/>
            <w:r>
              <w:rPr>
                <w:rFonts w:asciiTheme="majorHAnsi" w:hAnsiTheme="majorHAnsi"/>
              </w:rPr>
              <w:t>Memmott</w:t>
            </w:r>
            <w:proofErr w:type="spellEnd"/>
          </w:p>
        </w:tc>
      </w:tr>
      <w:tr w:rsidR="009863A7" w:rsidRPr="003539A7" w:rsidTr="009863A7">
        <w:trPr>
          <w:trHeight w:val="576"/>
        </w:trPr>
        <w:tc>
          <w:tcPr>
            <w:tcW w:w="1980" w:type="dxa"/>
            <w:tcBorders>
              <w:top w:val="single" w:sz="8" w:space="0" w:color="403152" w:themeColor="accent4" w:themeShade="80"/>
            </w:tcBorders>
            <w:shd w:val="solid" w:color="F2F2F2" w:themeColor="background1" w:themeShade="F2" w:fill="auto"/>
            <w:vAlign w:val="center"/>
          </w:tcPr>
          <w:p w:rsidR="009863A7" w:rsidRPr="009863A7" w:rsidRDefault="009863A7" w:rsidP="009863A7">
            <w:pPr>
              <w:rPr>
                <w:rFonts w:asciiTheme="majorHAnsi" w:hAnsiTheme="majorHAnsi"/>
                <w:b/>
                <w:color w:val="244061" w:themeColor="accent1" w:themeShade="80"/>
              </w:rPr>
            </w:pPr>
            <w:r w:rsidRPr="009863A7">
              <w:rPr>
                <w:rFonts w:asciiTheme="majorHAnsi" w:hAnsiTheme="majorHAnsi"/>
                <w:b/>
                <w:color w:val="244061" w:themeColor="accent1" w:themeShade="80"/>
              </w:rPr>
              <w:t>Number of Lessons in Unit</w:t>
            </w:r>
          </w:p>
        </w:tc>
        <w:tc>
          <w:tcPr>
            <w:tcW w:w="7470" w:type="dxa"/>
            <w:tcBorders>
              <w:top w:val="single" w:sz="8" w:space="0" w:color="403152" w:themeColor="accent4" w:themeShade="80"/>
            </w:tcBorders>
            <w:shd w:val="solid" w:color="F2F2F2" w:themeColor="background1" w:themeShade="F2" w:fill="auto"/>
            <w:vAlign w:val="center"/>
          </w:tcPr>
          <w:p w:rsidR="009863A7" w:rsidRPr="009863A7" w:rsidRDefault="00E34F80" w:rsidP="009863A7">
            <w:pPr>
              <w:rPr>
                <w:rFonts w:asciiTheme="majorHAnsi" w:hAnsiTheme="majorHAnsi"/>
              </w:rPr>
            </w:pPr>
            <w:r>
              <w:rPr>
                <w:rFonts w:asciiTheme="majorHAnsi" w:hAnsiTheme="majorHAnsi"/>
              </w:rPr>
              <w:t>10</w:t>
            </w:r>
          </w:p>
        </w:tc>
      </w:tr>
    </w:tbl>
    <w:p w:rsidR="009863A7" w:rsidRPr="00E34F80" w:rsidRDefault="009863A7" w:rsidP="009863A7">
      <w:pPr>
        <w:pStyle w:val="Heading1"/>
        <w:rPr>
          <w:rFonts w:asciiTheme="majorHAnsi" w:hAnsiTheme="majorHAnsi"/>
        </w:rPr>
      </w:pPr>
      <w:r w:rsidRPr="00E34F80">
        <w:rPr>
          <w:rFonts w:asciiTheme="majorHAnsi" w:hAnsiTheme="majorHAnsi"/>
        </w:rPr>
        <w:t>Introduction</w:t>
      </w:r>
    </w:p>
    <w:p w:rsidR="00461E19" w:rsidRPr="003539A7" w:rsidRDefault="009863A7" w:rsidP="00461E19">
      <w:pPr>
        <w:spacing w:after="200"/>
      </w:pPr>
      <w:r w:rsidRPr="003539A7">
        <w:t xml:space="preserve">In this unit, students </w:t>
      </w:r>
      <w:r>
        <w:t xml:space="preserve">engage with Julia Alvarez’s autobiographical essay, </w:t>
      </w:r>
      <w:r w:rsidR="00461E19">
        <w:t xml:space="preserve">“A Genetics of Justice,” </w:t>
      </w:r>
      <w:r>
        <w:t xml:space="preserve">continuing to build skills for close reading and analysis as well </w:t>
      </w:r>
      <w:r w:rsidR="001E0A16">
        <w:t xml:space="preserve">as </w:t>
      </w:r>
      <w:r>
        <w:t xml:space="preserve">developing </w:t>
      </w:r>
      <w:r w:rsidR="00461E19">
        <w:t xml:space="preserve">their understanding of the </w:t>
      </w:r>
      <w:r w:rsidR="00E34F80">
        <w:t>concept</w:t>
      </w:r>
      <w:r w:rsidR="00461E19">
        <w:t xml:space="preserve"> of human rights as represented in literary nonfiction.</w:t>
      </w:r>
      <w:r w:rsidR="00A066EB">
        <w:t xml:space="preserve"> </w:t>
      </w:r>
      <w:r w:rsidR="00461E19">
        <w:t>S</w:t>
      </w:r>
      <w:r w:rsidR="00461E19" w:rsidRPr="002E6E78">
        <w:t xml:space="preserve">tudents </w:t>
      </w:r>
      <w:r w:rsidR="00461E19">
        <w:t xml:space="preserve">encounter Alvarez’s evocation of the struggle to memorialize the horrors of the Trujillo dictatorship in the Dominican Republic in “A Genetics of Justice” alongside Mark </w:t>
      </w:r>
      <w:proofErr w:type="spellStart"/>
      <w:r w:rsidR="00461E19">
        <w:t>Memmott’s</w:t>
      </w:r>
      <w:proofErr w:type="spellEnd"/>
      <w:r w:rsidR="00461E19">
        <w:t xml:space="preserve"> more journalistic approach </w:t>
      </w:r>
      <w:r w:rsidR="00E34F80">
        <w:t>to the topic in “Reme</w:t>
      </w:r>
      <w:r w:rsidR="001813C1">
        <w:t>m</w:t>
      </w:r>
      <w:r w:rsidR="00E34F80">
        <w:t xml:space="preserve">bering </w:t>
      </w:r>
      <w:proofErr w:type="gramStart"/>
      <w:r w:rsidR="00E34F80">
        <w:t>To</w:t>
      </w:r>
      <w:proofErr w:type="gramEnd"/>
      <w:r w:rsidR="00E34F80">
        <w:t xml:space="preserve"> Never Forget</w:t>
      </w:r>
      <w:r w:rsidR="005C6D25">
        <w:t>,</w:t>
      </w:r>
      <w:r w:rsidR="00E34F80">
        <w:t xml:space="preserve">” in order </w:t>
      </w:r>
      <w:r w:rsidR="00461E19">
        <w:t xml:space="preserve">to consider how authors </w:t>
      </w:r>
      <w:r w:rsidR="001813C1">
        <w:t>present details to develop different portrayals of Trujillo</w:t>
      </w:r>
      <w:r w:rsidR="00461E19">
        <w:t>.</w:t>
      </w:r>
    </w:p>
    <w:p w:rsidR="009863A7" w:rsidRDefault="009863A7" w:rsidP="005C6D25">
      <w:pPr>
        <w:spacing w:after="200"/>
      </w:pPr>
      <w:r w:rsidRPr="003539A7">
        <w:t>In this unit, students</w:t>
      </w:r>
      <w:r>
        <w:t xml:space="preserve"> also</w:t>
      </w:r>
      <w:r w:rsidRPr="003539A7">
        <w:t xml:space="preserve"> focus on </w:t>
      </w:r>
      <w:r>
        <w:t>strengthening their writing as well as building their skills for civil and productive conversation</w:t>
      </w:r>
      <w:r w:rsidRPr="003539A7">
        <w:t xml:space="preserve">. </w:t>
      </w:r>
      <w:r>
        <w:t xml:space="preserve">In </w:t>
      </w:r>
      <w:r w:rsidR="00461E19">
        <w:t>both settings</w:t>
      </w:r>
      <w:r w:rsidRPr="003539A7">
        <w:t>, students learn to articulate analysis backed by ample references to the text, while also learning to engage in a safe, critical dialogue with peers.</w:t>
      </w:r>
      <w:r>
        <w:t xml:space="preserve"> </w:t>
      </w:r>
      <w:r w:rsidR="00E34F80">
        <w:t>By examining two very different texts alongside one another, students develop the critical skill of analysis across texts</w:t>
      </w:r>
      <w:r w:rsidR="005C6D25">
        <w:t>,</w:t>
      </w:r>
      <w:r w:rsidR="00E34F80">
        <w:t xml:space="preserve"> in order to understand how an author’s choices about tone and structure can create divergent approaches to the same issue. </w:t>
      </w:r>
    </w:p>
    <w:p w:rsidR="009863A7" w:rsidRPr="003539A7" w:rsidRDefault="009863A7" w:rsidP="005C6D25">
      <w:pPr>
        <w:spacing w:after="200"/>
      </w:pPr>
      <w:r>
        <w:t>For the</w:t>
      </w:r>
      <w:r w:rsidRPr="003539A7">
        <w:t xml:space="preserve"> </w:t>
      </w:r>
      <w:r>
        <w:t>M</w:t>
      </w:r>
      <w:r w:rsidRPr="003539A7">
        <w:t>id-</w:t>
      </w:r>
      <w:r>
        <w:t>U</w:t>
      </w:r>
      <w:r w:rsidRPr="003539A7">
        <w:t xml:space="preserve">nit </w:t>
      </w:r>
      <w:r>
        <w:t>A</w:t>
      </w:r>
      <w:r w:rsidRPr="003539A7">
        <w:t>ssessment,</w:t>
      </w:r>
      <w:r>
        <w:t xml:space="preserve"> </w:t>
      </w:r>
      <w:r>
        <w:rPr>
          <w:rFonts w:cs="Calibri"/>
        </w:rPr>
        <w:t xml:space="preserve">students </w:t>
      </w:r>
      <w:r w:rsidR="00FC3907">
        <w:rPr>
          <w:rFonts w:cs="Calibri"/>
        </w:rPr>
        <w:t>analyze Alvarez’s claim that “[Trujillo] had ruled her [mother’s] imagination most of her life</w:t>
      </w:r>
      <w:r w:rsidR="005C6D25">
        <w:rPr>
          <w:rFonts w:cs="Calibri"/>
        </w:rPr>
        <w:t>,</w:t>
      </w:r>
      <w:r w:rsidR="00FC3907">
        <w:rPr>
          <w:rFonts w:cs="Calibri"/>
        </w:rPr>
        <w:t>”</w:t>
      </w:r>
      <w:r w:rsidR="001E0A16">
        <w:rPr>
          <w:rFonts w:cs="Calibri"/>
        </w:rPr>
        <w:t xml:space="preserve"> (par. 15)</w:t>
      </w:r>
      <w:r w:rsidR="00FC3907">
        <w:rPr>
          <w:rFonts w:cs="Calibri"/>
        </w:rPr>
        <w:t xml:space="preserve"> in order to determine how Alvarez develops this claim in the first fifteen paragraphs of the essay. </w:t>
      </w:r>
    </w:p>
    <w:p w:rsidR="009863A7" w:rsidRDefault="009863A7" w:rsidP="009863A7">
      <w:r w:rsidRPr="003539A7">
        <w:t xml:space="preserve">For the </w:t>
      </w:r>
      <w:r>
        <w:t>End-of-Unit</w:t>
      </w:r>
      <w:r w:rsidRPr="003539A7">
        <w:t xml:space="preserve"> </w:t>
      </w:r>
      <w:r>
        <w:t>A</w:t>
      </w:r>
      <w:r w:rsidRPr="003539A7">
        <w:t>ssessment</w:t>
      </w:r>
      <w:r>
        <w:t>,</w:t>
      </w:r>
      <w:r w:rsidRPr="003539A7">
        <w:t xml:space="preserve"> </w:t>
      </w:r>
      <w:r>
        <w:t>students craft a multi-paragraph response analyzing</w:t>
      </w:r>
      <w:r w:rsidR="00FC3907">
        <w:t xml:space="preserve"> how the sentence “No flies fly into a closed mouth”</w:t>
      </w:r>
      <w:r w:rsidR="001E0A16">
        <w:t xml:space="preserve"> (par. 21)</w:t>
      </w:r>
      <w:r w:rsidR="00FC3907">
        <w:t xml:space="preserve"> develops and refines one of Alvarez’s ideas in “A Genetics of Justice</w:t>
      </w:r>
      <w:r>
        <w:t>.</w:t>
      </w:r>
      <w:r w:rsidR="00FC3907">
        <w:t>”</w:t>
      </w:r>
    </w:p>
    <w:p w:rsidR="009863A7" w:rsidRPr="00FC3907" w:rsidRDefault="009863A7" w:rsidP="001E0A16">
      <w:pPr>
        <w:pStyle w:val="Heading1"/>
        <w:keepNext/>
        <w:rPr>
          <w:rFonts w:asciiTheme="majorHAnsi" w:hAnsiTheme="majorHAnsi"/>
        </w:rPr>
      </w:pPr>
      <w:r w:rsidRPr="00FC3907">
        <w:rPr>
          <w:rFonts w:asciiTheme="majorHAnsi" w:hAnsiTheme="majorHAnsi"/>
        </w:rPr>
        <w:lastRenderedPageBreak/>
        <w:t>Literacy Skills &amp; Habits</w:t>
      </w:r>
    </w:p>
    <w:p w:rsidR="009863A7" w:rsidRPr="003539A7" w:rsidRDefault="009863A7" w:rsidP="009863A7">
      <w:pPr>
        <w:pStyle w:val="BulletedList"/>
      </w:pPr>
      <w:r w:rsidRPr="003539A7">
        <w:t>Read closely for textual details</w:t>
      </w:r>
      <w:r w:rsidR="009D375C">
        <w:t>.</w:t>
      </w:r>
    </w:p>
    <w:p w:rsidR="009863A7" w:rsidRPr="003539A7" w:rsidRDefault="009863A7" w:rsidP="009863A7">
      <w:pPr>
        <w:pStyle w:val="BulletedList"/>
      </w:pPr>
      <w:r w:rsidRPr="003539A7">
        <w:t>Annotate texts to support comprehension and analysis</w:t>
      </w:r>
      <w:r w:rsidR="009D375C">
        <w:t>.</w:t>
      </w:r>
    </w:p>
    <w:p w:rsidR="00FC3907" w:rsidRDefault="009863A7" w:rsidP="009863A7">
      <w:pPr>
        <w:pStyle w:val="BulletedList"/>
      </w:pPr>
      <w:r w:rsidRPr="003539A7">
        <w:t>Engage in productive evidence-base</w:t>
      </w:r>
      <w:r w:rsidR="00FC3907">
        <w:t>d conversations about text</w:t>
      </w:r>
      <w:r w:rsidR="009D375C">
        <w:t>.</w:t>
      </w:r>
    </w:p>
    <w:p w:rsidR="009863A7" w:rsidRDefault="009863A7" w:rsidP="009863A7">
      <w:pPr>
        <w:pStyle w:val="BulletedList"/>
      </w:pPr>
      <w:r w:rsidRPr="003539A7">
        <w:t>Determine meaning of unknown vocabulary</w:t>
      </w:r>
      <w:r w:rsidR="009D375C">
        <w:t>.</w:t>
      </w:r>
    </w:p>
    <w:p w:rsidR="00FC3907" w:rsidRPr="003539A7" w:rsidRDefault="00FC3907" w:rsidP="00FC3907">
      <w:pPr>
        <w:pStyle w:val="BulletedList"/>
      </w:pPr>
      <w:r>
        <w:t>Independently preview text in preparation for supported analysis</w:t>
      </w:r>
      <w:r w:rsidR="009D375C">
        <w:t>.</w:t>
      </w:r>
    </w:p>
    <w:p w:rsidR="009863A7" w:rsidRPr="003539A7" w:rsidRDefault="009863A7" w:rsidP="009863A7">
      <w:pPr>
        <w:pStyle w:val="BulletedList"/>
      </w:pPr>
      <w:r w:rsidRPr="003539A7">
        <w:t>Paraphrase and quote relevant evidence from a text</w:t>
      </w:r>
      <w:r w:rsidR="009D375C">
        <w:t>.</w:t>
      </w:r>
    </w:p>
    <w:p w:rsidR="009863A7" w:rsidRPr="003539A7" w:rsidRDefault="009863A7" w:rsidP="009863A7">
      <w:pPr>
        <w:pStyle w:val="BulletedList"/>
      </w:pPr>
      <w:r w:rsidRPr="003539A7">
        <w:t>Write original evidence-based claims</w:t>
      </w:r>
      <w:r w:rsidR="009D375C">
        <w:t>.</w:t>
      </w:r>
    </w:p>
    <w:p w:rsidR="009863A7" w:rsidRPr="003539A7" w:rsidRDefault="009863A7" w:rsidP="009D375C">
      <w:pPr>
        <w:pStyle w:val="BulletedList"/>
        <w:spacing w:after="0"/>
      </w:pPr>
      <w:r w:rsidRPr="003539A7">
        <w:t>Generate and respond to questions in scholarly discourse</w:t>
      </w:r>
      <w:r w:rsidR="009D375C">
        <w:t>.</w:t>
      </w:r>
    </w:p>
    <w:p w:rsidR="009863A7" w:rsidRPr="005B6EE5" w:rsidRDefault="009863A7" w:rsidP="009D375C">
      <w:pPr>
        <w:pStyle w:val="Heading1"/>
        <w:spacing w:before="60"/>
        <w:rPr>
          <w:rFonts w:asciiTheme="majorHAnsi" w:hAnsiTheme="majorHAnsi"/>
        </w:rPr>
      </w:pPr>
      <w:r w:rsidRPr="005B6EE5">
        <w:rPr>
          <w:rFonts w:asciiTheme="majorHAnsi" w:hAnsiTheme="majorHAnsi"/>
        </w:rPr>
        <w:t>Standards for This Unit</w:t>
      </w:r>
    </w:p>
    <w:tbl>
      <w:tblPr>
        <w:tblW w:w="946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360"/>
        <w:gridCol w:w="8100"/>
      </w:tblGrid>
      <w:tr w:rsidR="009D375C" w:rsidRPr="003539A7" w:rsidTr="009863A7">
        <w:tc>
          <w:tcPr>
            <w:tcW w:w="9460" w:type="dxa"/>
            <w:gridSpan w:val="2"/>
            <w:shd w:val="clear" w:color="auto" w:fill="5F497A" w:themeFill="accent4" w:themeFillShade="BF"/>
            <w:tcMar>
              <w:top w:w="100" w:type="dxa"/>
              <w:left w:w="108" w:type="dxa"/>
              <w:bottom w:w="100" w:type="dxa"/>
              <w:right w:w="108" w:type="dxa"/>
            </w:tcMar>
          </w:tcPr>
          <w:p w:rsidR="009D375C" w:rsidRPr="003539A7" w:rsidRDefault="009D375C" w:rsidP="009863A7">
            <w:pPr>
              <w:pStyle w:val="TableHeaders"/>
            </w:pPr>
            <w:r w:rsidRPr="00E75803">
              <w:t>College and Career Readiness Anchor Standards for Reading</w:t>
            </w:r>
          </w:p>
        </w:tc>
      </w:tr>
      <w:tr w:rsidR="009D375C" w:rsidRPr="003539A7" w:rsidTr="009D375C">
        <w:tc>
          <w:tcPr>
            <w:tcW w:w="9460" w:type="dxa"/>
            <w:gridSpan w:val="2"/>
            <w:shd w:val="clear" w:color="auto" w:fill="auto"/>
            <w:tcMar>
              <w:top w:w="100" w:type="dxa"/>
              <w:left w:w="108" w:type="dxa"/>
              <w:bottom w:w="100" w:type="dxa"/>
              <w:right w:w="108" w:type="dxa"/>
            </w:tcMar>
          </w:tcPr>
          <w:p w:rsidR="009D375C" w:rsidRPr="009D375C" w:rsidRDefault="009D375C" w:rsidP="009863A7">
            <w:pPr>
              <w:pStyle w:val="TableHeaders"/>
              <w:rPr>
                <w:b w:val="0"/>
                <w:color w:val="auto"/>
              </w:rPr>
            </w:pPr>
            <w:r>
              <w:rPr>
                <w:b w:val="0"/>
                <w:color w:val="auto"/>
              </w:rPr>
              <w:t>None.</w:t>
            </w:r>
          </w:p>
        </w:tc>
      </w:tr>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t>CCS Standards: Reading</w:t>
            </w:r>
            <w:r w:rsidR="009D375C" w:rsidRPr="00A716AE">
              <w:t>—</w:t>
            </w:r>
            <w:r w:rsidR="009D375C">
              <w:t>Literature</w:t>
            </w:r>
          </w:p>
        </w:tc>
      </w:tr>
      <w:tr w:rsidR="008678E7" w:rsidRPr="003539A7" w:rsidTr="00EF7AA4">
        <w:tc>
          <w:tcPr>
            <w:tcW w:w="9460" w:type="dxa"/>
            <w:gridSpan w:val="2"/>
            <w:tcMar>
              <w:top w:w="100" w:type="dxa"/>
              <w:left w:w="108" w:type="dxa"/>
              <w:bottom w:w="100" w:type="dxa"/>
              <w:right w:w="108" w:type="dxa"/>
            </w:tcMar>
          </w:tcPr>
          <w:p w:rsidR="008678E7" w:rsidRPr="008678E7" w:rsidRDefault="008678E7" w:rsidP="005B6EE5">
            <w:pPr>
              <w:rPr>
                <w:lang w:eastAsia="ja-JP"/>
              </w:rPr>
            </w:pPr>
            <w:r w:rsidRPr="008678E7">
              <w:rPr>
                <w:lang w:eastAsia="ja-JP"/>
              </w:rPr>
              <w:t>None.</w:t>
            </w:r>
          </w:p>
        </w:tc>
      </w:tr>
      <w:tr w:rsidR="008678E7" w:rsidRPr="003539A7" w:rsidTr="008678E7">
        <w:trPr>
          <w:trHeight w:val="346"/>
        </w:trPr>
        <w:tc>
          <w:tcPr>
            <w:tcW w:w="9460" w:type="dxa"/>
            <w:gridSpan w:val="2"/>
            <w:shd w:val="clear" w:color="auto" w:fill="5F497A" w:themeFill="accent4" w:themeFillShade="BF"/>
            <w:tcMar>
              <w:top w:w="100" w:type="dxa"/>
              <w:left w:w="108" w:type="dxa"/>
              <w:bottom w:w="100" w:type="dxa"/>
              <w:right w:w="108" w:type="dxa"/>
            </w:tcMar>
          </w:tcPr>
          <w:p w:rsidR="008678E7" w:rsidRPr="008678E7" w:rsidRDefault="008678E7" w:rsidP="008678E7">
            <w:pPr>
              <w:rPr>
                <w:b/>
                <w:lang w:eastAsia="ja-JP"/>
              </w:rPr>
            </w:pPr>
            <w:r w:rsidRPr="008678E7">
              <w:rPr>
                <w:b/>
                <w:color w:val="FFFFFF" w:themeColor="background1"/>
              </w:rPr>
              <w:t>CCS Standards: Reading—</w:t>
            </w:r>
            <w:r>
              <w:rPr>
                <w:b/>
                <w:color w:val="FFFFFF" w:themeColor="background1"/>
              </w:rPr>
              <w:t xml:space="preserve">Informational Text </w:t>
            </w:r>
          </w:p>
        </w:tc>
      </w:tr>
      <w:tr w:rsidR="009863A7" w:rsidRPr="003539A7" w:rsidTr="001E0A16">
        <w:tc>
          <w:tcPr>
            <w:tcW w:w="1360" w:type="dxa"/>
            <w:tcMar>
              <w:top w:w="100" w:type="dxa"/>
              <w:left w:w="108" w:type="dxa"/>
              <w:bottom w:w="100" w:type="dxa"/>
              <w:right w:w="108" w:type="dxa"/>
            </w:tcMar>
          </w:tcPr>
          <w:p w:rsidR="009863A7" w:rsidRPr="0074030E" w:rsidRDefault="009863A7" w:rsidP="00FC3907">
            <w:pPr>
              <w:pStyle w:val="Normal3"/>
              <w:rPr>
                <w:rFonts w:ascii="Calibri" w:eastAsia="Calibri" w:hAnsi="Calibri" w:cs="Calibri"/>
                <w:b/>
                <w:sz w:val="22"/>
              </w:rPr>
            </w:pPr>
            <w:r w:rsidRPr="0074030E">
              <w:rPr>
                <w:rFonts w:ascii="Calibri" w:eastAsia="Calibri" w:hAnsi="Calibri" w:cs="Calibri"/>
                <w:b/>
                <w:sz w:val="22"/>
              </w:rPr>
              <w:t>RI.</w:t>
            </w:r>
            <w:r w:rsidR="00FC3907" w:rsidRPr="0074030E">
              <w:rPr>
                <w:rFonts w:ascii="Calibri" w:eastAsia="Calibri" w:hAnsi="Calibri" w:cs="Calibri"/>
                <w:b/>
                <w:sz w:val="22"/>
              </w:rPr>
              <w:t>9-10</w:t>
            </w:r>
            <w:r w:rsidRPr="0074030E">
              <w:rPr>
                <w:rFonts w:ascii="Calibri" w:eastAsia="Calibri" w:hAnsi="Calibri" w:cs="Calibri"/>
                <w:b/>
                <w:sz w:val="22"/>
              </w:rPr>
              <w:t>.</w:t>
            </w:r>
            <w:r w:rsidR="00FC3907" w:rsidRPr="0074030E">
              <w:rPr>
                <w:rFonts w:ascii="Calibri" w:eastAsia="Calibri" w:hAnsi="Calibri" w:cs="Calibri"/>
                <w:b/>
                <w:sz w:val="22"/>
              </w:rPr>
              <w:t>2</w:t>
            </w:r>
          </w:p>
        </w:tc>
        <w:tc>
          <w:tcPr>
            <w:tcW w:w="8100" w:type="dxa"/>
            <w:tcMar>
              <w:top w:w="100" w:type="dxa"/>
              <w:left w:w="108" w:type="dxa"/>
              <w:bottom w:w="100" w:type="dxa"/>
              <w:right w:w="108" w:type="dxa"/>
            </w:tcMar>
          </w:tcPr>
          <w:p w:rsidR="009863A7" w:rsidRPr="00A01D73" w:rsidRDefault="00A01D73" w:rsidP="005B6EE5">
            <w:pPr>
              <w:rPr>
                <w:b/>
                <w:lang w:eastAsia="ja-JP"/>
              </w:rPr>
            </w:pPr>
            <w:r>
              <w:rPr>
                <w:b/>
                <w:lang w:eastAsia="ja-JP"/>
              </w:rPr>
              <w:t xml:space="preserve">Determine a central idea of a text and analyze its development over the course of the text, including how it emerges and is shaped and refined by specific details; provide an objective summary of the text. </w:t>
            </w:r>
          </w:p>
        </w:tc>
      </w:tr>
      <w:tr w:rsidR="009863A7" w:rsidRPr="003539A7" w:rsidTr="001E0A16">
        <w:tc>
          <w:tcPr>
            <w:tcW w:w="1360" w:type="dxa"/>
            <w:tcMar>
              <w:top w:w="100" w:type="dxa"/>
              <w:left w:w="108" w:type="dxa"/>
              <w:bottom w:w="100" w:type="dxa"/>
              <w:right w:w="108" w:type="dxa"/>
            </w:tcMar>
          </w:tcPr>
          <w:p w:rsidR="009863A7" w:rsidRPr="0074030E" w:rsidRDefault="009863A7" w:rsidP="009863A7">
            <w:pPr>
              <w:pStyle w:val="Normal3"/>
              <w:rPr>
                <w:b/>
              </w:rPr>
            </w:pPr>
            <w:r w:rsidRPr="0074030E">
              <w:rPr>
                <w:rFonts w:ascii="Calibri" w:eastAsia="Calibri" w:hAnsi="Calibri" w:cs="Calibri"/>
                <w:b/>
                <w:sz w:val="22"/>
              </w:rPr>
              <w:t>RI.</w:t>
            </w:r>
            <w:r w:rsidR="00FC3907" w:rsidRPr="0074030E">
              <w:rPr>
                <w:rFonts w:ascii="Calibri" w:eastAsia="Calibri" w:hAnsi="Calibri" w:cs="Calibri"/>
                <w:b/>
                <w:sz w:val="22"/>
              </w:rPr>
              <w:t>9-10</w:t>
            </w:r>
            <w:r w:rsidRPr="0074030E">
              <w:rPr>
                <w:rFonts w:ascii="Calibri" w:eastAsia="Calibri" w:hAnsi="Calibri" w:cs="Calibri"/>
                <w:b/>
                <w:sz w:val="22"/>
              </w:rPr>
              <w:t>.</w:t>
            </w:r>
            <w:r w:rsidR="005B6EE5" w:rsidRPr="0074030E">
              <w:rPr>
                <w:rFonts w:ascii="Calibri" w:eastAsia="Calibri" w:hAnsi="Calibri" w:cs="Calibri"/>
                <w:b/>
                <w:sz w:val="22"/>
              </w:rPr>
              <w:t>3</w:t>
            </w:r>
          </w:p>
          <w:p w:rsidR="009863A7" w:rsidRPr="005B6EE5" w:rsidRDefault="009863A7" w:rsidP="009863A7"/>
        </w:tc>
        <w:tc>
          <w:tcPr>
            <w:tcW w:w="8100" w:type="dxa"/>
            <w:tcMar>
              <w:top w:w="100" w:type="dxa"/>
              <w:left w:w="108" w:type="dxa"/>
              <w:bottom w:w="100" w:type="dxa"/>
              <w:right w:w="108" w:type="dxa"/>
            </w:tcMar>
          </w:tcPr>
          <w:p w:rsidR="009863A7" w:rsidRPr="00051555" w:rsidRDefault="00A01D73" w:rsidP="009863A7">
            <w:pPr>
              <w:rPr>
                <w:b/>
                <w:lang w:eastAsia="ja-JP"/>
              </w:rPr>
            </w:pPr>
            <w:r>
              <w:rPr>
                <w:b/>
                <w:lang w:eastAsia="ja-JP"/>
              </w:rPr>
              <w:t>Analyze how an author unfolds an analysis or series of ideas or events, including the order in which the points are made, how they are introduced and developed, and the connections that are drawn between them.</w:t>
            </w:r>
          </w:p>
        </w:tc>
      </w:tr>
      <w:tr w:rsidR="009863A7" w:rsidRPr="003539A7" w:rsidTr="001E0A16">
        <w:tc>
          <w:tcPr>
            <w:tcW w:w="1360" w:type="dxa"/>
            <w:tcMar>
              <w:top w:w="100" w:type="dxa"/>
              <w:left w:w="108" w:type="dxa"/>
              <w:bottom w:w="100" w:type="dxa"/>
              <w:right w:w="108" w:type="dxa"/>
            </w:tcMar>
          </w:tcPr>
          <w:p w:rsidR="009863A7" w:rsidRPr="0074030E" w:rsidRDefault="009863A7" w:rsidP="005B6EE5">
            <w:pPr>
              <w:pStyle w:val="Normal3"/>
              <w:rPr>
                <w:rFonts w:ascii="Calibri" w:eastAsia="Calibri" w:hAnsi="Calibri" w:cs="Calibri"/>
                <w:b/>
                <w:sz w:val="22"/>
              </w:rPr>
            </w:pPr>
            <w:r w:rsidRPr="0074030E">
              <w:rPr>
                <w:rFonts w:ascii="Calibri" w:eastAsia="Calibri" w:hAnsi="Calibri" w:cs="Calibri"/>
                <w:b/>
                <w:sz w:val="22"/>
              </w:rPr>
              <w:t>RI.</w:t>
            </w:r>
            <w:r w:rsidR="00FC3907" w:rsidRPr="0074030E">
              <w:rPr>
                <w:rFonts w:ascii="Calibri" w:eastAsia="Calibri" w:hAnsi="Calibri" w:cs="Calibri"/>
                <w:b/>
                <w:sz w:val="22"/>
              </w:rPr>
              <w:t>9-10</w:t>
            </w:r>
            <w:r w:rsidRPr="0074030E">
              <w:rPr>
                <w:rFonts w:ascii="Calibri" w:eastAsia="Calibri" w:hAnsi="Calibri" w:cs="Calibri"/>
                <w:b/>
                <w:sz w:val="22"/>
              </w:rPr>
              <w:t>.</w:t>
            </w:r>
            <w:r w:rsidR="005B6EE5" w:rsidRPr="0074030E">
              <w:rPr>
                <w:rFonts w:ascii="Calibri" w:eastAsia="Calibri" w:hAnsi="Calibri" w:cs="Calibri"/>
                <w:b/>
                <w:sz w:val="22"/>
              </w:rPr>
              <w:t>5</w:t>
            </w:r>
          </w:p>
        </w:tc>
        <w:tc>
          <w:tcPr>
            <w:tcW w:w="8100" w:type="dxa"/>
            <w:tcMar>
              <w:top w:w="100" w:type="dxa"/>
              <w:left w:w="108" w:type="dxa"/>
              <w:bottom w:w="100" w:type="dxa"/>
              <w:right w:w="108" w:type="dxa"/>
            </w:tcMar>
          </w:tcPr>
          <w:p w:rsidR="009863A7" w:rsidRPr="00051555" w:rsidRDefault="00A01D73" w:rsidP="009863A7">
            <w:pPr>
              <w:rPr>
                <w:b/>
                <w:lang w:eastAsia="ja-JP"/>
              </w:rPr>
            </w:pPr>
            <w:r>
              <w:rPr>
                <w:b/>
                <w:lang w:eastAsia="ja-JP"/>
              </w:rPr>
              <w:t>Analyze in detail how an author’s ideas or claims are developed and refined by particular sentences, paragraphs, or larger portions of a text (e.g., a section or chapter).</w:t>
            </w:r>
          </w:p>
        </w:tc>
      </w:tr>
      <w:tr w:rsidR="009863A7" w:rsidRPr="003539A7" w:rsidTr="001E0A16">
        <w:tc>
          <w:tcPr>
            <w:tcW w:w="1360" w:type="dxa"/>
            <w:tcMar>
              <w:top w:w="100" w:type="dxa"/>
              <w:left w:w="108" w:type="dxa"/>
              <w:bottom w:w="100" w:type="dxa"/>
              <w:right w:w="108" w:type="dxa"/>
            </w:tcMar>
          </w:tcPr>
          <w:p w:rsidR="009863A7" w:rsidRPr="0074030E" w:rsidRDefault="009863A7" w:rsidP="0074030E">
            <w:pPr>
              <w:rPr>
                <w:b/>
              </w:rPr>
            </w:pPr>
            <w:r w:rsidRPr="0074030E">
              <w:rPr>
                <w:rFonts w:cs="Calibri"/>
                <w:b/>
              </w:rPr>
              <w:t>RI.</w:t>
            </w:r>
            <w:r w:rsidR="00FC3907" w:rsidRPr="0074030E">
              <w:rPr>
                <w:rFonts w:cs="Calibri"/>
                <w:b/>
              </w:rPr>
              <w:t>9-10</w:t>
            </w:r>
            <w:r w:rsidRPr="0074030E">
              <w:rPr>
                <w:rFonts w:cs="Calibri"/>
                <w:b/>
              </w:rPr>
              <w:t>.</w:t>
            </w:r>
            <w:r w:rsidR="0074030E" w:rsidRPr="0074030E">
              <w:rPr>
                <w:rFonts w:cs="Calibri"/>
                <w:b/>
              </w:rPr>
              <w:t>7</w:t>
            </w:r>
          </w:p>
        </w:tc>
        <w:tc>
          <w:tcPr>
            <w:tcW w:w="8100" w:type="dxa"/>
            <w:tcMar>
              <w:top w:w="100" w:type="dxa"/>
              <w:left w:w="108" w:type="dxa"/>
              <w:bottom w:w="100" w:type="dxa"/>
              <w:right w:w="108" w:type="dxa"/>
            </w:tcMar>
          </w:tcPr>
          <w:p w:rsidR="009863A7" w:rsidRPr="00051555" w:rsidRDefault="00BF7A7C" w:rsidP="009863A7">
            <w:pPr>
              <w:rPr>
                <w:b/>
                <w:lang w:eastAsia="ja-JP"/>
              </w:rPr>
            </w:pPr>
            <w:r>
              <w:rPr>
                <w:b/>
                <w:lang w:eastAsia="ja-JP"/>
              </w:rPr>
              <w:t xml:space="preserve">Analyze various accounts of a subject told in different mediums (e.g., a person’s life story in both print and multimedia), determining which details are emphasized in </w:t>
            </w:r>
            <w:r>
              <w:rPr>
                <w:b/>
                <w:lang w:eastAsia="ja-JP"/>
              </w:rPr>
              <w:lastRenderedPageBreak/>
              <w:t xml:space="preserve">each account. </w:t>
            </w:r>
          </w:p>
        </w:tc>
      </w:tr>
      <w:tr w:rsidR="009863A7" w:rsidRPr="003539A7" w:rsidTr="009863A7">
        <w:trPr>
          <w:trHeight w:val="120"/>
        </w:trPr>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bookmarkStart w:id="0" w:name="_GoBack"/>
            <w:bookmarkEnd w:id="0"/>
            <w:r w:rsidRPr="003539A7">
              <w:lastRenderedPageBreak/>
              <w:t>CCS Standards: Writing</w:t>
            </w:r>
          </w:p>
        </w:tc>
      </w:tr>
      <w:tr w:rsidR="009863A7" w:rsidRPr="00A836EB" w:rsidTr="001E0A16">
        <w:tc>
          <w:tcPr>
            <w:tcW w:w="1360" w:type="dxa"/>
            <w:tcMar>
              <w:top w:w="100" w:type="dxa"/>
              <w:left w:w="108" w:type="dxa"/>
              <w:bottom w:w="100" w:type="dxa"/>
              <w:right w:w="108" w:type="dxa"/>
            </w:tcMar>
          </w:tcPr>
          <w:p w:rsidR="009863A7" w:rsidRPr="0074030E" w:rsidRDefault="009863A7" w:rsidP="009863A7">
            <w:pPr>
              <w:rPr>
                <w:b/>
              </w:rPr>
            </w:pPr>
            <w:r w:rsidRPr="0074030E">
              <w:rPr>
                <w:rFonts w:cs="Calibri"/>
                <w:b/>
              </w:rPr>
              <w:t>W.</w:t>
            </w:r>
            <w:r w:rsidR="00FC3907" w:rsidRPr="0074030E">
              <w:rPr>
                <w:rFonts w:cs="Calibri"/>
                <w:b/>
              </w:rPr>
              <w:t>9-10</w:t>
            </w:r>
            <w:r w:rsidRPr="0074030E">
              <w:rPr>
                <w:rFonts w:cs="Calibri"/>
                <w:b/>
              </w:rPr>
              <w:t>.2.a-f</w:t>
            </w:r>
          </w:p>
        </w:tc>
        <w:tc>
          <w:tcPr>
            <w:tcW w:w="8100" w:type="dxa"/>
            <w:tcMar>
              <w:top w:w="100" w:type="dxa"/>
              <w:left w:w="108" w:type="dxa"/>
              <w:bottom w:w="100" w:type="dxa"/>
              <w:right w:w="108" w:type="dxa"/>
            </w:tcMar>
          </w:tcPr>
          <w:p w:rsidR="009863A7" w:rsidRPr="000363EB" w:rsidRDefault="00BF7A7C" w:rsidP="009863A7">
            <w:pPr>
              <w:rPr>
                <w:b/>
                <w:lang w:eastAsia="ja-JP"/>
              </w:rPr>
            </w:pPr>
            <w:r w:rsidRPr="000363EB">
              <w:rPr>
                <w:b/>
                <w:lang w:eastAsia="ja-JP"/>
              </w:rPr>
              <w:t>Write informative/explanatory texts to examine and convey compl</w:t>
            </w:r>
            <w:r w:rsidR="005C6D25">
              <w:rPr>
                <w:b/>
                <w:lang w:eastAsia="ja-JP"/>
              </w:rPr>
              <w:t>e</w:t>
            </w:r>
            <w:r w:rsidRPr="000363EB">
              <w:rPr>
                <w:b/>
                <w:lang w:eastAsia="ja-JP"/>
              </w:rPr>
              <w:t xml:space="preserve">x ideas, concepts, and information clearly and accurately through the effective selection, organization, and analysis of content. </w:t>
            </w:r>
          </w:p>
          <w:p w:rsidR="00D27A3B" w:rsidRPr="000363EB" w:rsidRDefault="00D27A3B" w:rsidP="00B06B0C">
            <w:pPr>
              <w:pStyle w:val="ListParagraph"/>
              <w:numPr>
                <w:ilvl w:val="0"/>
                <w:numId w:val="6"/>
              </w:numPr>
              <w:ind w:left="342" w:hanging="342"/>
              <w:rPr>
                <w:b/>
                <w:lang w:eastAsia="ja-JP"/>
              </w:rPr>
            </w:pPr>
            <w:r w:rsidRPr="000363EB">
              <w:rPr>
                <w:b/>
                <w:lang w:eastAsia="ja-JP"/>
              </w:rPr>
              <w:t xml:space="preserve">Introduce a topic; organize complex ideas, concepts and information to make important connections and distinctions; included formatting (e.g., headings), graphics (e.g., figures, tables), and multimedia when useful to aiding comprehension. </w:t>
            </w:r>
          </w:p>
          <w:p w:rsidR="00D27A3B" w:rsidRPr="000363EB" w:rsidRDefault="00D27A3B" w:rsidP="00B06B0C">
            <w:pPr>
              <w:pStyle w:val="ListParagraph"/>
              <w:numPr>
                <w:ilvl w:val="0"/>
                <w:numId w:val="6"/>
              </w:numPr>
              <w:ind w:left="342" w:hanging="342"/>
              <w:rPr>
                <w:b/>
                <w:lang w:eastAsia="ja-JP"/>
              </w:rPr>
            </w:pPr>
            <w:r w:rsidRPr="000363EB">
              <w:rPr>
                <w:b/>
                <w:lang w:eastAsia="ja-JP"/>
              </w:rPr>
              <w:t>Develop the topic with well-chosen, relevant and sufficient facts, extended definitions, concrete details, quotations, or other relevant information and examples appropriate to the audience’s knowledge of the topic.</w:t>
            </w:r>
          </w:p>
          <w:p w:rsidR="00D27A3B" w:rsidRPr="000363EB" w:rsidRDefault="00D27A3B" w:rsidP="00B06B0C">
            <w:pPr>
              <w:pStyle w:val="ListParagraph"/>
              <w:numPr>
                <w:ilvl w:val="0"/>
                <w:numId w:val="6"/>
              </w:numPr>
              <w:ind w:left="342" w:hanging="342"/>
              <w:rPr>
                <w:b/>
                <w:lang w:eastAsia="ja-JP"/>
              </w:rPr>
            </w:pPr>
            <w:r w:rsidRPr="000363EB">
              <w:rPr>
                <w:b/>
                <w:lang w:eastAsia="ja-JP"/>
              </w:rPr>
              <w:t xml:space="preserve">Use appropriate and varied transitions to link the major sections of the text, create cohesion, and clarify the relationships among complex ideas and concepts. </w:t>
            </w:r>
          </w:p>
          <w:p w:rsidR="00D27A3B" w:rsidRPr="000363EB" w:rsidRDefault="00D27A3B" w:rsidP="00B06B0C">
            <w:pPr>
              <w:pStyle w:val="ListParagraph"/>
              <w:numPr>
                <w:ilvl w:val="0"/>
                <w:numId w:val="6"/>
              </w:numPr>
              <w:ind w:left="342" w:hanging="342"/>
              <w:rPr>
                <w:b/>
                <w:lang w:eastAsia="ja-JP"/>
              </w:rPr>
            </w:pPr>
            <w:r w:rsidRPr="000363EB">
              <w:rPr>
                <w:b/>
                <w:lang w:eastAsia="ja-JP"/>
              </w:rPr>
              <w:t xml:space="preserve">Use precise language and domain specific vocabulary to manage the complexity of the topic. </w:t>
            </w:r>
          </w:p>
          <w:p w:rsidR="00D27A3B" w:rsidRPr="000363EB" w:rsidRDefault="00D27A3B" w:rsidP="00B06B0C">
            <w:pPr>
              <w:pStyle w:val="ListParagraph"/>
              <w:numPr>
                <w:ilvl w:val="0"/>
                <w:numId w:val="6"/>
              </w:numPr>
              <w:ind w:left="342" w:hanging="342"/>
              <w:rPr>
                <w:b/>
                <w:lang w:eastAsia="ja-JP"/>
              </w:rPr>
            </w:pPr>
            <w:r w:rsidRPr="000363EB">
              <w:rPr>
                <w:b/>
                <w:lang w:eastAsia="ja-JP"/>
              </w:rPr>
              <w:t xml:space="preserve">Establish and maintain a formal style and objective tone while attending to the norms and conventions of the discipline in which they are writing. </w:t>
            </w:r>
          </w:p>
          <w:p w:rsidR="00D27A3B" w:rsidRPr="000363EB" w:rsidRDefault="00D27A3B" w:rsidP="00B06B0C">
            <w:pPr>
              <w:pStyle w:val="ListParagraph"/>
              <w:numPr>
                <w:ilvl w:val="0"/>
                <w:numId w:val="6"/>
              </w:numPr>
              <w:ind w:left="342" w:hanging="342"/>
              <w:rPr>
                <w:b/>
                <w:lang w:eastAsia="ja-JP"/>
              </w:rPr>
            </w:pPr>
            <w:r w:rsidRPr="000363EB">
              <w:rPr>
                <w:b/>
                <w:lang w:eastAsia="ja-JP"/>
              </w:rPr>
              <w:t xml:space="preserve">Provide a concluding statement or section that follows from and supports the information or explanation presented (e.g., articulating implications or the significance of the topic). </w:t>
            </w:r>
          </w:p>
        </w:tc>
      </w:tr>
      <w:tr w:rsidR="009863A7" w:rsidRPr="00A836EB" w:rsidTr="001E0A16">
        <w:tc>
          <w:tcPr>
            <w:tcW w:w="1360" w:type="dxa"/>
            <w:tcMar>
              <w:top w:w="100" w:type="dxa"/>
              <w:left w:w="108" w:type="dxa"/>
              <w:bottom w:w="100" w:type="dxa"/>
              <w:right w:w="108" w:type="dxa"/>
            </w:tcMar>
          </w:tcPr>
          <w:p w:rsidR="009863A7" w:rsidRPr="00264EB8" w:rsidRDefault="009863A7" w:rsidP="009863A7">
            <w:pPr>
              <w:rPr>
                <w:b/>
              </w:rPr>
            </w:pPr>
            <w:r w:rsidRPr="00264EB8">
              <w:rPr>
                <w:b/>
              </w:rPr>
              <w:t>W.</w:t>
            </w:r>
            <w:r w:rsidR="00FC3907" w:rsidRPr="00264EB8">
              <w:rPr>
                <w:b/>
              </w:rPr>
              <w:t>9-10</w:t>
            </w:r>
            <w:r w:rsidRPr="00264EB8">
              <w:rPr>
                <w:b/>
              </w:rPr>
              <w:t>.9</w:t>
            </w:r>
            <w:r w:rsidR="0074030E" w:rsidRPr="00264EB8">
              <w:rPr>
                <w:b/>
              </w:rPr>
              <w:t>.b</w:t>
            </w:r>
          </w:p>
        </w:tc>
        <w:tc>
          <w:tcPr>
            <w:tcW w:w="8100" w:type="dxa"/>
            <w:tcMar>
              <w:top w:w="100" w:type="dxa"/>
              <w:left w:w="108" w:type="dxa"/>
              <w:bottom w:w="100" w:type="dxa"/>
              <w:right w:w="108" w:type="dxa"/>
            </w:tcMar>
          </w:tcPr>
          <w:p w:rsidR="009863A7" w:rsidRPr="00264EB8" w:rsidRDefault="00D27A3B" w:rsidP="009863A7">
            <w:pPr>
              <w:rPr>
                <w:b/>
                <w:lang w:eastAsia="ja-JP"/>
              </w:rPr>
            </w:pPr>
            <w:r w:rsidRPr="00264EB8">
              <w:rPr>
                <w:b/>
                <w:lang w:eastAsia="ja-JP"/>
              </w:rPr>
              <w:t>Draw evidence from literary or informational texts to support analysis, reflection, and research.</w:t>
            </w:r>
          </w:p>
          <w:p w:rsidR="005600B7" w:rsidRPr="00264EB8" w:rsidRDefault="00D27A3B" w:rsidP="00264EB8">
            <w:pPr>
              <w:pStyle w:val="SubStandard"/>
              <w:numPr>
                <w:ilvl w:val="0"/>
                <w:numId w:val="21"/>
              </w:numPr>
              <w:rPr>
                <w:b/>
                <w:lang w:eastAsia="ja-JP"/>
              </w:rPr>
            </w:pPr>
            <w:r w:rsidRPr="00264EB8">
              <w:rPr>
                <w:b/>
                <w:lang w:eastAsia="ja-JP"/>
              </w:rPr>
              <w:t xml:space="preserve">Apply </w:t>
            </w:r>
            <w:r w:rsidRPr="00264EB8">
              <w:rPr>
                <w:b/>
                <w:i/>
                <w:lang w:eastAsia="ja-JP"/>
              </w:rPr>
              <w:t>grades 9-10 Reading standards</w:t>
            </w:r>
            <w:r w:rsidRPr="00264EB8">
              <w:rPr>
                <w:b/>
                <w:lang w:eastAsia="ja-JP"/>
              </w:rPr>
              <w:t xml:space="preserve"> to literary nonfiction (e.g., Delineate and evaluate the argument and specific claims in a text, assessing whether the reasoning is valid and the evidence is relevant and sufficient; </w:t>
            </w:r>
            <w:r w:rsidR="005B1F62" w:rsidRPr="00264EB8">
              <w:rPr>
                <w:b/>
                <w:lang w:eastAsia="ja-JP"/>
              </w:rPr>
              <w:t xml:space="preserve">identify false statements and fallacious reasoning. </w:t>
            </w:r>
          </w:p>
        </w:tc>
      </w:tr>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t>CCS Standards: Speaking &amp; Listening</w:t>
            </w:r>
          </w:p>
        </w:tc>
      </w:tr>
      <w:tr w:rsidR="009863A7" w:rsidRPr="00A836EB" w:rsidTr="001E0A16">
        <w:tc>
          <w:tcPr>
            <w:tcW w:w="1360" w:type="dxa"/>
            <w:tcMar>
              <w:top w:w="100" w:type="dxa"/>
              <w:left w:w="108" w:type="dxa"/>
              <w:bottom w:w="100" w:type="dxa"/>
              <w:right w:w="108" w:type="dxa"/>
            </w:tcMar>
          </w:tcPr>
          <w:p w:rsidR="009863A7" w:rsidRPr="00264EB8" w:rsidRDefault="009863A7" w:rsidP="009863A7">
            <w:pPr>
              <w:rPr>
                <w:spacing w:val="-2"/>
              </w:rPr>
            </w:pPr>
            <w:r w:rsidRPr="00264EB8">
              <w:rPr>
                <w:rFonts w:cs="Calibri"/>
                <w:spacing w:val="-2"/>
              </w:rPr>
              <w:t>SL.</w:t>
            </w:r>
            <w:r w:rsidR="00FC3907" w:rsidRPr="00264EB8">
              <w:rPr>
                <w:rFonts w:cs="Calibri"/>
                <w:spacing w:val="-2"/>
              </w:rPr>
              <w:t>9-10</w:t>
            </w:r>
            <w:r w:rsidRPr="00264EB8">
              <w:rPr>
                <w:rFonts w:cs="Calibri"/>
                <w:spacing w:val="-2"/>
              </w:rPr>
              <w:t>.1.a-e</w:t>
            </w:r>
          </w:p>
          <w:p w:rsidR="009863A7" w:rsidRPr="00C87B73" w:rsidRDefault="009863A7" w:rsidP="009863A7">
            <w:pPr>
              <w:rPr>
                <w:b/>
              </w:rPr>
            </w:pPr>
          </w:p>
        </w:tc>
        <w:tc>
          <w:tcPr>
            <w:tcW w:w="8100" w:type="dxa"/>
            <w:tcMar>
              <w:top w:w="100" w:type="dxa"/>
              <w:left w:w="108" w:type="dxa"/>
              <w:bottom w:w="100" w:type="dxa"/>
              <w:right w:w="108" w:type="dxa"/>
            </w:tcMar>
          </w:tcPr>
          <w:p w:rsidR="009863A7" w:rsidRDefault="005B1F62" w:rsidP="005B6EE5">
            <w:r>
              <w:t xml:space="preserve">Initiate and participate effectively in a range of collaborative discussions (one-on-one, in groups, and teacher-led) with diverse partners on </w:t>
            </w:r>
            <w:r>
              <w:rPr>
                <w:i/>
              </w:rPr>
              <w:t>grades 9-10 topics, texts and issues</w:t>
            </w:r>
            <w:r>
              <w:t xml:space="preserve">, building on others’ ideas and expressing their own clearly and persuasively. </w:t>
            </w:r>
          </w:p>
          <w:p w:rsidR="005B1F62" w:rsidRDefault="005B1F62" w:rsidP="007508BF">
            <w:pPr>
              <w:pStyle w:val="ListParagraph"/>
              <w:numPr>
                <w:ilvl w:val="0"/>
                <w:numId w:val="7"/>
              </w:numPr>
              <w:ind w:left="352" w:hanging="352"/>
            </w:pPr>
            <w:r>
              <w:lastRenderedPageBreak/>
              <w:t xml:space="preserve">Come to discussions </w:t>
            </w:r>
            <w:proofErr w:type="gramStart"/>
            <w:r>
              <w:t>prepared,</w:t>
            </w:r>
            <w:proofErr w:type="gramEnd"/>
            <w:r>
              <w:t xml:space="preserve"> having read and researched material under</w:t>
            </w:r>
            <w:r w:rsidR="005C6D25">
              <w:t xml:space="preserve"> </w:t>
            </w:r>
            <w:r>
              <w:t>study; explicitly draw on that preparation by referring to evidence from texts and other research on the topic or issue to stimulate a thoughtful, well-reasoned exchange of ideas.</w:t>
            </w:r>
          </w:p>
          <w:p w:rsidR="005B1F62" w:rsidRDefault="005B1F62" w:rsidP="007508BF">
            <w:pPr>
              <w:pStyle w:val="ListParagraph"/>
              <w:numPr>
                <w:ilvl w:val="0"/>
                <w:numId w:val="7"/>
              </w:numPr>
              <w:ind w:left="352" w:hanging="352"/>
            </w:pPr>
            <w:r>
              <w:t xml:space="preserve">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 </w:t>
            </w:r>
          </w:p>
          <w:p w:rsidR="005B1F62" w:rsidRDefault="005B1F62" w:rsidP="007508BF">
            <w:pPr>
              <w:pStyle w:val="ListParagraph"/>
              <w:numPr>
                <w:ilvl w:val="0"/>
                <w:numId w:val="7"/>
              </w:numPr>
              <w:ind w:left="352" w:hanging="352"/>
            </w:pPr>
            <w:r>
              <w:t xml:space="preserve">Propel conversations by posing and responding to questions that relate the current discussion to broader themes or larger ideas; </w:t>
            </w:r>
            <w:r w:rsidR="00FC0585">
              <w:t xml:space="preserve">actively incorporate others into the discussion; and clarify, verify or challenge ideas and conclusions. </w:t>
            </w:r>
          </w:p>
          <w:p w:rsidR="00FC0585" w:rsidRDefault="00FC0585" w:rsidP="007508BF">
            <w:pPr>
              <w:pStyle w:val="ListParagraph"/>
              <w:numPr>
                <w:ilvl w:val="0"/>
                <w:numId w:val="7"/>
              </w:numPr>
              <w:ind w:left="352" w:hanging="352"/>
            </w:pPr>
            <w:r>
              <w:t>Respond thoughtfully to diverse perspectives, summarize points of agreement and disagreement, and, when warranted, qualify or j</w:t>
            </w:r>
            <w:r w:rsidR="006F3EAC">
              <w:t>ustify their own views and under</w:t>
            </w:r>
            <w:r>
              <w:t>standing and make new connections in light of the evidence and reasoning presented</w:t>
            </w:r>
            <w:r w:rsidR="005600B7">
              <w:t>.</w:t>
            </w:r>
          </w:p>
          <w:p w:rsidR="005600B7" w:rsidRPr="005B1F62" w:rsidRDefault="005600B7" w:rsidP="007508BF">
            <w:pPr>
              <w:pStyle w:val="ListParagraph"/>
              <w:numPr>
                <w:ilvl w:val="0"/>
                <w:numId w:val="7"/>
              </w:numPr>
              <w:ind w:left="352" w:hanging="352"/>
            </w:pPr>
            <w:r>
              <w:t xml:space="preserve">Seek to understand other perspectives and cultures and communicate effectively with audiences or individuals from varied backgrounds. </w:t>
            </w:r>
          </w:p>
        </w:tc>
      </w:tr>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lastRenderedPageBreak/>
              <w:t>CCS Standards: Language</w:t>
            </w:r>
          </w:p>
        </w:tc>
      </w:tr>
      <w:tr w:rsidR="009863A7" w:rsidRPr="003539A7" w:rsidTr="001E0A16">
        <w:tc>
          <w:tcPr>
            <w:tcW w:w="1360" w:type="dxa"/>
            <w:tcMar>
              <w:top w:w="100" w:type="dxa"/>
              <w:left w:w="108" w:type="dxa"/>
              <w:bottom w:w="100" w:type="dxa"/>
              <w:right w:w="108" w:type="dxa"/>
            </w:tcMar>
          </w:tcPr>
          <w:p w:rsidR="009863A7" w:rsidRPr="0074030E" w:rsidRDefault="009863A7" w:rsidP="009863A7">
            <w:pPr>
              <w:rPr>
                <w:rFonts w:cs="Calibri"/>
                <w:b/>
              </w:rPr>
            </w:pPr>
            <w:r w:rsidRPr="0074030E">
              <w:rPr>
                <w:rFonts w:cs="Calibri"/>
                <w:b/>
              </w:rPr>
              <w:t>L.</w:t>
            </w:r>
            <w:r w:rsidR="00FC3907" w:rsidRPr="0074030E">
              <w:rPr>
                <w:rFonts w:cs="Calibri"/>
                <w:b/>
              </w:rPr>
              <w:t>9-10</w:t>
            </w:r>
            <w:r w:rsidRPr="0074030E">
              <w:rPr>
                <w:rFonts w:cs="Calibri"/>
                <w:b/>
              </w:rPr>
              <w:t>.1</w:t>
            </w:r>
          </w:p>
        </w:tc>
        <w:tc>
          <w:tcPr>
            <w:tcW w:w="8100" w:type="dxa"/>
            <w:tcMar>
              <w:top w:w="100" w:type="dxa"/>
              <w:left w:w="108" w:type="dxa"/>
              <w:bottom w:w="100" w:type="dxa"/>
              <w:right w:w="108" w:type="dxa"/>
            </w:tcMar>
          </w:tcPr>
          <w:p w:rsidR="009863A7" w:rsidRPr="0074030E" w:rsidRDefault="009863A7" w:rsidP="009D375C">
            <w:pPr>
              <w:spacing w:after="0"/>
              <w:rPr>
                <w:b/>
                <w:lang w:eastAsia="ja-JP"/>
              </w:rPr>
            </w:pPr>
            <w:r w:rsidRPr="0074030E">
              <w:rPr>
                <w:b/>
                <w:lang w:eastAsia="ja-JP"/>
              </w:rPr>
              <w:t>Demonstrate command of the conventions of standard English grammar and usage when writing or speaking.</w:t>
            </w:r>
          </w:p>
        </w:tc>
      </w:tr>
      <w:tr w:rsidR="009863A7" w:rsidRPr="003539A7" w:rsidTr="001E0A16">
        <w:tc>
          <w:tcPr>
            <w:tcW w:w="1360" w:type="dxa"/>
            <w:tcMar>
              <w:top w:w="100" w:type="dxa"/>
              <w:left w:w="108" w:type="dxa"/>
              <w:bottom w:w="100" w:type="dxa"/>
              <w:right w:w="108" w:type="dxa"/>
            </w:tcMar>
          </w:tcPr>
          <w:p w:rsidR="009863A7" w:rsidRPr="0074030E" w:rsidRDefault="009863A7" w:rsidP="009863A7">
            <w:pPr>
              <w:rPr>
                <w:rFonts w:cs="Calibri"/>
                <w:b/>
              </w:rPr>
            </w:pPr>
            <w:r w:rsidRPr="0074030E">
              <w:rPr>
                <w:rFonts w:cs="Calibri"/>
                <w:b/>
              </w:rPr>
              <w:t>L.</w:t>
            </w:r>
            <w:r w:rsidR="00FC3907" w:rsidRPr="0074030E">
              <w:rPr>
                <w:rFonts w:cs="Calibri"/>
                <w:b/>
              </w:rPr>
              <w:t>9-10</w:t>
            </w:r>
            <w:r w:rsidRPr="0074030E">
              <w:rPr>
                <w:rFonts w:cs="Calibri"/>
                <w:b/>
              </w:rPr>
              <w:t>.2</w:t>
            </w:r>
          </w:p>
        </w:tc>
        <w:tc>
          <w:tcPr>
            <w:tcW w:w="8100" w:type="dxa"/>
            <w:tcMar>
              <w:top w:w="100" w:type="dxa"/>
              <w:left w:w="108" w:type="dxa"/>
              <w:bottom w:w="100" w:type="dxa"/>
              <w:right w:w="108" w:type="dxa"/>
            </w:tcMar>
          </w:tcPr>
          <w:p w:rsidR="009863A7" w:rsidRPr="0074030E" w:rsidRDefault="009863A7" w:rsidP="009D375C">
            <w:pPr>
              <w:spacing w:after="0"/>
              <w:rPr>
                <w:b/>
                <w:lang w:eastAsia="ja-JP"/>
              </w:rPr>
            </w:pPr>
            <w:r w:rsidRPr="0074030E">
              <w:rPr>
                <w:b/>
                <w:lang w:eastAsia="ja-JP"/>
              </w:rPr>
              <w:t>Demonstrate command of the conventions of standard English capitalization, punctuation, and spelling when writing.</w:t>
            </w:r>
          </w:p>
        </w:tc>
      </w:tr>
      <w:tr w:rsidR="009863A7" w:rsidRPr="003539A7" w:rsidTr="001E0A16">
        <w:tc>
          <w:tcPr>
            <w:tcW w:w="1360" w:type="dxa"/>
            <w:tcMar>
              <w:top w:w="100" w:type="dxa"/>
              <w:left w:w="108" w:type="dxa"/>
              <w:bottom w:w="100" w:type="dxa"/>
              <w:right w:w="108" w:type="dxa"/>
            </w:tcMar>
          </w:tcPr>
          <w:p w:rsidR="009863A7" w:rsidRDefault="009863A7" w:rsidP="009863A7">
            <w:pPr>
              <w:rPr>
                <w:rFonts w:cs="Calibri"/>
              </w:rPr>
            </w:pPr>
            <w:r>
              <w:rPr>
                <w:rFonts w:cs="Calibri"/>
              </w:rPr>
              <w:t>L.</w:t>
            </w:r>
            <w:r w:rsidR="00FC3907">
              <w:rPr>
                <w:rFonts w:cs="Calibri"/>
              </w:rPr>
              <w:t>9-10</w:t>
            </w:r>
            <w:r>
              <w:rPr>
                <w:rFonts w:cs="Calibri"/>
              </w:rPr>
              <w:t>.4</w:t>
            </w:r>
            <w:r w:rsidR="0074030E">
              <w:rPr>
                <w:rFonts w:cs="Calibri"/>
              </w:rPr>
              <w:t>.a, b</w:t>
            </w:r>
          </w:p>
        </w:tc>
        <w:tc>
          <w:tcPr>
            <w:tcW w:w="8100" w:type="dxa"/>
            <w:tcMar>
              <w:top w:w="100" w:type="dxa"/>
              <w:left w:w="108" w:type="dxa"/>
              <w:bottom w:w="100" w:type="dxa"/>
              <w:right w:w="108" w:type="dxa"/>
            </w:tcMar>
          </w:tcPr>
          <w:p w:rsidR="009863A7" w:rsidRDefault="005600B7" w:rsidP="009863A7">
            <w:pPr>
              <w:pStyle w:val="TableText"/>
            </w:pPr>
            <w:r>
              <w:t xml:space="preserve">Determine or clarify the meaning of unknown and multiple-meaning words and phrases based on </w:t>
            </w:r>
            <w:r>
              <w:rPr>
                <w:i/>
              </w:rPr>
              <w:t>grades 9</w:t>
            </w:r>
            <w:r w:rsidR="009D375C">
              <w:rPr>
                <w:i/>
              </w:rPr>
              <w:t>–</w:t>
            </w:r>
            <w:r>
              <w:rPr>
                <w:i/>
              </w:rPr>
              <w:t>10 reading and content</w:t>
            </w:r>
            <w:r>
              <w:t>, choosing flexibly from a range of strategies.</w:t>
            </w:r>
          </w:p>
          <w:p w:rsidR="005600B7" w:rsidRDefault="005600B7" w:rsidP="006F3EAC">
            <w:pPr>
              <w:pStyle w:val="TableText"/>
              <w:numPr>
                <w:ilvl w:val="0"/>
                <w:numId w:val="8"/>
              </w:numPr>
              <w:ind w:left="352"/>
            </w:pPr>
            <w:r>
              <w:t>Use context (e.g., the overall meaning of a sentence, paragraph or text</w:t>
            </w:r>
            <w:r w:rsidR="00017AE0">
              <w:t>; a word’s position or function in a sentence) as a clue to the meaning of a word or phrase.</w:t>
            </w:r>
          </w:p>
          <w:p w:rsidR="00017AE0" w:rsidRPr="005600B7" w:rsidRDefault="00017AE0" w:rsidP="009D375C">
            <w:pPr>
              <w:pStyle w:val="TableText"/>
              <w:numPr>
                <w:ilvl w:val="0"/>
                <w:numId w:val="8"/>
              </w:numPr>
              <w:spacing w:after="0"/>
              <w:ind w:left="346"/>
            </w:pPr>
            <w:r>
              <w:t xml:space="preserve">Identify and correctly use patterns of word changes that indicate different meanings or parts of speech (e.g., analyze, analysis, analytical; advocate, advocacy). </w:t>
            </w:r>
          </w:p>
        </w:tc>
      </w:tr>
      <w:tr w:rsidR="009863A7" w:rsidRPr="003539A7" w:rsidTr="001E0A16">
        <w:tc>
          <w:tcPr>
            <w:tcW w:w="1360" w:type="dxa"/>
            <w:tcMar>
              <w:top w:w="100" w:type="dxa"/>
              <w:left w:w="108" w:type="dxa"/>
              <w:bottom w:w="100" w:type="dxa"/>
              <w:right w:w="108" w:type="dxa"/>
            </w:tcMar>
          </w:tcPr>
          <w:p w:rsidR="009863A7" w:rsidRDefault="009863A7" w:rsidP="009863A7">
            <w:pPr>
              <w:pStyle w:val="Normal3"/>
            </w:pPr>
            <w:r>
              <w:rPr>
                <w:rFonts w:ascii="Calibri" w:eastAsia="Calibri" w:hAnsi="Calibri" w:cs="Calibri"/>
                <w:sz w:val="22"/>
              </w:rPr>
              <w:t>L.</w:t>
            </w:r>
            <w:r w:rsidR="00FC3907">
              <w:rPr>
                <w:rFonts w:ascii="Calibri" w:eastAsia="Calibri" w:hAnsi="Calibri" w:cs="Calibri"/>
                <w:sz w:val="22"/>
              </w:rPr>
              <w:t>9-10</w:t>
            </w:r>
            <w:r>
              <w:rPr>
                <w:rFonts w:ascii="Calibri" w:eastAsia="Calibri" w:hAnsi="Calibri" w:cs="Calibri"/>
                <w:sz w:val="22"/>
              </w:rPr>
              <w:t>.5</w:t>
            </w:r>
            <w:r w:rsidR="0074030E">
              <w:rPr>
                <w:rFonts w:ascii="Calibri" w:eastAsia="Calibri" w:hAnsi="Calibri" w:cs="Calibri"/>
                <w:sz w:val="22"/>
              </w:rPr>
              <w:t>.a</w:t>
            </w:r>
          </w:p>
          <w:p w:rsidR="009863A7" w:rsidRPr="007A6A94" w:rsidRDefault="009863A7" w:rsidP="009863A7">
            <w:pPr>
              <w:rPr>
                <w:b/>
              </w:rPr>
            </w:pPr>
          </w:p>
        </w:tc>
        <w:tc>
          <w:tcPr>
            <w:tcW w:w="8100" w:type="dxa"/>
            <w:tcMar>
              <w:top w:w="100" w:type="dxa"/>
              <w:left w:w="108" w:type="dxa"/>
              <w:bottom w:w="100" w:type="dxa"/>
              <w:right w:w="108" w:type="dxa"/>
            </w:tcMar>
          </w:tcPr>
          <w:p w:rsidR="009863A7" w:rsidRDefault="009863A7" w:rsidP="009863A7">
            <w:pPr>
              <w:rPr>
                <w:lang w:eastAsia="ja-JP"/>
              </w:rPr>
            </w:pPr>
            <w:r>
              <w:rPr>
                <w:lang w:eastAsia="ja-JP"/>
              </w:rPr>
              <w:t>Demonstrate understanding of figurative language, word relationships, and nuances in word meanings.</w:t>
            </w:r>
          </w:p>
          <w:p w:rsidR="00017AE0" w:rsidRPr="006F3EAC" w:rsidRDefault="00017AE0" w:rsidP="009D375C">
            <w:pPr>
              <w:pStyle w:val="ListParagraph"/>
              <w:numPr>
                <w:ilvl w:val="0"/>
                <w:numId w:val="20"/>
              </w:numPr>
              <w:spacing w:after="0"/>
              <w:ind w:left="346"/>
            </w:pPr>
            <w:r w:rsidRPr="006F3EAC">
              <w:t xml:space="preserve">Interpret figures of speech (e.g., euphemism, oxymoron) in context and analyze their role in the text. </w:t>
            </w:r>
          </w:p>
        </w:tc>
      </w:tr>
    </w:tbl>
    <w:p w:rsidR="009863A7" w:rsidRPr="003539A7" w:rsidRDefault="009863A7" w:rsidP="009863A7">
      <w:r w:rsidRPr="00A836EB">
        <w:rPr>
          <w:b/>
        </w:rPr>
        <w:t>Note:</w:t>
      </w:r>
      <w:r w:rsidRPr="003539A7">
        <w:t xml:space="preserve"> Bold text indicates targeted standards that will be assessed in the unit.</w:t>
      </w:r>
    </w:p>
    <w:p w:rsidR="009863A7" w:rsidRPr="005B6EE5" w:rsidRDefault="009863A7" w:rsidP="009863A7">
      <w:pPr>
        <w:pStyle w:val="Heading1"/>
        <w:rPr>
          <w:rFonts w:asciiTheme="majorHAnsi" w:hAnsiTheme="majorHAnsi"/>
        </w:rPr>
      </w:pPr>
      <w:r w:rsidRPr="005B6EE5">
        <w:rPr>
          <w:rFonts w:asciiTheme="majorHAnsi" w:hAnsiTheme="majorHAnsi"/>
        </w:rPr>
        <w:lastRenderedPageBreak/>
        <w:t>Unit Assessments</w:t>
      </w: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A836EB">
              <w:t>Ongoing</w:t>
            </w:r>
            <w:r w:rsidRPr="003539A7">
              <w:t xml:space="preserve"> Assessment</w:t>
            </w:r>
          </w:p>
        </w:tc>
      </w:tr>
      <w:tr w:rsidR="009863A7" w:rsidRPr="003539A7" w:rsidTr="009863A7">
        <w:tc>
          <w:tcPr>
            <w:tcW w:w="1710" w:type="dxa"/>
            <w:tcMar>
              <w:top w:w="100" w:type="dxa"/>
              <w:left w:w="108" w:type="dxa"/>
              <w:bottom w:w="100" w:type="dxa"/>
              <w:right w:w="108" w:type="dxa"/>
            </w:tcMar>
          </w:tcPr>
          <w:p w:rsidR="009863A7" w:rsidRPr="00A836EB" w:rsidRDefault="009863A7" w:rsidP="009863A7">
            <w:pPr>
              <w:rPr>
                <w:b/>
              </w:rPr>
            </w:pPr>
            <w:r w:rsidRPr="00A836EB">
              <w:rPr>
                <w:b/>
              </w:rPr>
              <w:t>Standards Assessed</w:t>
            </w:r>
          </w:p>
        </w:tc>
        <w:tc>
          <w:tcPr>
            <w:tcW w:w="7750" w:type="dxa"/>
            <w:tcMar>
              <w:top w:w="100" w:type="dxa"/>
              <w:left w:w="108" w:type="dxa"/>
              <w:bottom w:w="100" w:type="dxa"/>
              <w:right w:w="108" w:type="dxa"/>
            </w:tcMar>
          </w:tcPr>
          <w:p w:rsidR="009863A7" w:rsidRPr="00A836EB" w:rsidRDefault="009863A7" w:rsidP="007258F0">
            <w:pPr>
              <w:pStyle w:val="Normal3"/>
              <w:spacing w:after="200" w:line="264" w:lineRule="auto"/>
            </w:pPr>
            <w:r>
              <w:rPr>
                <w:rFonts w:ascii="Calibri" w:eastAsia="Calibri" w:hAnsi="Calibri" w:cs="Calibri"/>
                <w:sz w:val="22"/>
              </w:rPr>
              <w:t>RI.</w:t>
            </w:r>
            <w:r w:rsidR="00FC3907">
              <w:rPr>
                <w:rFonts w:ascii="Calibri" w:eastAsia="Calibri" w:hAnsi="Calibri" w:cs="Calibri"/>
                <w:sz w:val="22"/>
              </w:rPr>
              <w:t>9-10</w:t>
            </w:r>
            <w:r>
              <w:rPr>
                <w:rFonts w:ascii="Calibri" w:eastAsia="Calibri" w:hAnsi="Calibri" w:cs="Calibri"/>
                <w:sz w:val="22"/>
              </w:rPr>
              <w:t>.2, RI.</w:t>
            </w:r>
            <w:r w:rsidR="00FC3907">
              <w:rPr>
                <w:rFonts w:ascii="Calibri" w:eastAsia="Calibri" w:hAnsi="Calibri" w:cs="Calibri"/>
                <w:sz w:val="22"/>
              </w:rPr>
              <w:t>9-10</w:t>
            </w:r>
            <w:r>
              <w:rPr>
                <w:rFonts w:ascii="Calibri" w:eastAsia="Calibri" w:hAnsi="Calibri" w:cs="Calibri"/>
                <w:sz w:val="22"/>
              </w:rPr>
              <w:t>.3,</w:t>
            </w:r>
            <w:r w:rsidRPr="006C6DFC">
              <w:rPr>
                <w:rFonts w:ascii="Calibri" w:eastAsia="Calibri" w:hAnsi="Calibri" w:cs="Calibri"/>
                <w:sz w:val="22"/>
              </w:rPr>
              <w:t xml:space="preserve"> RI.</w:t>
            </w:r>
            <w:r w:rsidR="00FC3907">
              <w:rPr>
                <w:rFonts w:ascii="Calibri" w:eastAsia="Calibri" w:hAnsi="Calibri" w:cs="Calibri"/>
                <w:sz w:val="22"/>
              </w:rPr>
              <w:t>9-10</w:t>
            </w:r>
            <w:r w:rsidRPr="006C6DFC">
              <w:rPr>
                <w:rFonts w:ascii="Calibri" w:eastAsia="Calibri" w:hAnsi="Calibri" w:cs="Calibri"/>
                <w:sz w:val="22"/>
              </w:rPr>
              <w:t>.</w:t>
            </w:r>
            <w:r w:rsidR="007258F0">
              <w:rPr>
                <w:rFonts w:ascii="Calibri" w:eastAsia="Calibri" w:hAnsi="Calibri" w:cs="Calibri"/>
                <w:sz w:val="22"/>
              </w:rPr>
              <w:t>5</w:t>
            </w:r>
            <w:r>
              <w:rPr>
                <w:rFonts w:ascii="Calibri" w:eastAsia="Calibri" w:hAnsi="Calibri" w:cs="Calibri"/>
                <w:sz w:val="22"/>
              </w:rPr>
              <w:t>,</w:t>
            </w:r>
            <w:r w:rsidR="007258F0">
              <w:rPr>
                <w:rFonts w:ascii="Calibri" w:eastAsia="Calibri" w:hAnsi="Calibri" w:cs="Calibri"/>
                <w:sz w:val="22"/>
              </w:rPr>
              <w:t xml:space="preserve"> RI.9-10.7</w:t>
            </w:r>
          </w:p>
        </w:tc>
      </w:tr>
      <w:tr w:rsidR="009863A7" w:rsidRPr="003539A7" w:rsidTr="009863A7">
        <w:tc>
          <w:tcPr>
            <w:tcW w:w="1710" w:type="dxa"/>
            <w:tcMar>
              <w:top w:w="100" w:type="dxa"/>
              <w:left w:w="108" w:type="dxa"/>
              <w:bottom w:w="100" w:type="dxa"/>
              <w:right w:w="108" w:type="dxa"/>
            </w:tcMar>
          </w:tcPr>
          <w:p w:rsidR="009863A7" w:rsidRPr="00A836EB" w:rsidRDefault="009863A7" w:rsidP="009863A7">
            <w:pPr>
              <w:rPr>
                <w:b/>
              </w:rPr>
            </w:pPr>
            <w:r w:rsidRPr="00A836EB">
              <w:rPr>
                <w:b/>
              </w:rPr>
              <w:t>Description of Assessment</w:t>
            </w:r>
          </w:p>
        </w:tc>
        <w:tc>
          <w:tcPr>
            <w:tcW w:w="7750" w:type="dxa"/>
            <w:tcMar>
              <w:top w:w="100" w:type="dxa"/>
              <w:left w:w="108" w:type="dxa"/>
              <w:bottom w:w="100" w:type="dxa"/>
              <w:right w:w="108" w:type="dxa"/>
            </w:tcMar>
          </w:tcPr>
          <w:p w:rsidR="009863A7" w:rsidRPr="00A836EB" w:rsidRDefault="009D375C" w:rsidP="007258F0">
            <w:r>
              <w:t>Students a</w:t>
            </w:r>
            <w:r w:rsidRPr="00A836EB">
              <w:t>nswer questions</w:t>
            </w:r>
            <w:r>
              <w:t>, w</w:t>
            </w:r>
            <w:r w:rsidRPr="00A836EB">
              <w:t xml:space="preserve">rite informally in </w:t>
            </w:r>
            <w:r>
              <w:t>response to text-based prompts, and p</w:t>
            </w:r>
            <w:r w:rsidRPr="00A836EB">
              <w:t>resent information in an organized and logical manner.</w:t>
            </w:r>
          </w:p>
        </w:tc>
      </w:tr>
    </w:tbl>
    <w:p w:rsidR="009863A7" w:rsidRPr="003539A7" w:rsidRDefault="009863A7" w:rsidP="009863A7">
      <w:pPr>
        <w:pStyle w:val="Normal1"/>
      </w:pP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t xml:space="preserve">Mid-Unit </w:t>
            </w:r>
            <w:r w:rsidRPr="00A836EB">
              <w:t>Assessment</w:t>
            </w:r>
          </w:p>
        </w:tc>
      </w:tr>
      <w:tr w:rsidR="009863A7" w:rsidRPr="003539A7" w:rsidTr="009863A7">
        <w:tc>
          <w:tcPr>
            <w:tcW w:w="1710" w:type="dxa"/>
            <w:tcMar>
              <w:top w:w="100" w:type="dxa"/>
              <w:left w:w="108" w:type="dxa"/>
              <w:bottom w:w="100" w:type="dxa"/>
              <w:right w:w="108" w:type="dxa"/>
            </w:tcMar>
          </w:tcPr>
          <w:p w:rsidR="009863A7" w:rsidRPr="00A836EB" w:rsidRDefault="009863A7" w:rsidP="009863A7">
            <w:pPr>
              <w:rPr>
                <w:b/>
              </w:rPr>
            </w:pPr>
            <w:r w:rsidRPr="00A836EB">
              <w:rPr>
                <w:b/>
              </w:rPr>
              <w:t>Standards Assessed</w:t>
            </w:r>
          </w:p>
        </w:tc>
        <w:tc>
          <w:tcPr>
            <w:tcW w:w="7750" w:type="dxa"/>
            <w:tcMar>
              <w:top w:w="100" w:type="dxa"/>
              <w:left w:w="108" w:type="dxa"/>
              <w:bottom w:w="100" w:type="dxa"/>
              <w:right w:w="108" w:type="dxa"/>
            </w:tcMar>
          </w:tcPr>
          <w:p w:rsidR="009863A7" w:rsidRPr="00A836EB" w:rsidRDefault="009863A7" w:rsidP="007258F0">
            <w:pPr>
              <w:pStyle w:val="Normal3"/>
            </w:pPr>
            <w:r>
              <w:rPr>
                <w:rFonts w:ascii="Calibri" w:eastAsia="Calibri" w:hAnsi="Calibri" w:cs="Calibri"/>
                <w:sz w:val="22"/>
              </w:rPr>
              <w:t>RI.</w:t>
            </w:r>
            <w:r w:rsidR="00FC3907">
              <w:rPr>
                <w:rFonts w:ascii="Calibri" w:eastAsia="Calibri" w:hAnsi="Calibri" w:cs="Calibri"/>
                <w:sz w:val="22"/>
              </w:rPr>
              <w:t>9-10</w:t>
            </w:r>
            <w:r>
              <w:rPr>
                <w:rFonts w:ascii="Calibri" w:eastAsia="Calibri" w:hAnsi="Calibri" w:cs="Calibri"/>
                <w:sz w:val="22"/>
              </w:rPr>
              <w:t>.</w:t>
            </w:r>
            <w:r w:rsidR="007258F0">
              <w:rPr>
                <w:rFonts w:ascii="Calibri" w:eastAsia="Calibri" w:hAnsi="Calibri" w:cs="Calibri"/>
                <w:sz w:val="22"/>
              </w:rPr>
              <w:t>5</w:t>
            </w:r>
            <w:r>
              <w:rPr>
                <w:rFonts w:ascii="Calibri" w:eastAsia="Calibri" w:hAnsi="Calibri" w:cs="Calibri"/>
                <w:sz w:val="22"/>
              </w:rPr>
              <w:t>, W.</w:t>
            </w:r>
            <w:r w:rsidR="00FC3907">
              <w:rPr>
                <w:rFonts w:ascii="Calibri" w:eastAsia="Calibri" w:hAnsi="Calibri" w:cs="Calibri"/>
                <w:sz w:val="22"/>
              </w:rPr>
              <w:t>9-10</w:t>
            </w:r>
            <w:r>
              <w:rPr>
                <w:rFonts w:ascii="Calibri" w:eastAsia="Calibri" w:hAnsi="Calibri" w:cs="Calibri"/>
                <w:sz w:val="22"/>
              </w:rPr>
              <w:t>.2.a-</w:t>
            </w:r>
            <w:r w:rsidR="004F1BD3">
              <w:rPr>
                <w:rFonts w:ascii="Calibri" w:eastAsia="Calibri" w:hAnsi="Calibri" w:cs="Calibri"/>
                <w:sz w:val="22"/>
              </w:rPr>
              <w:t>f, W.9-10.9.b,</w:t>
            </w:r>
            <w:r>
              <w:t xml:space="preserve"> </w:t>
            </w:r>
            <w:r>
              <w:rPr>
                <w:rFonts w:ascii="Calibri" w:eastAsia="Calibri" w:hAnsi="Calibri" w:cs="Calibri"/>
                <w:sz w:val="22"/>
              </w:rPr>
              <w:t>L.</w:t>
            </w:r>
            <w:r w:rsidR="00FC3907">
              <w:rPr>
                <w:rFonts w:ascii="Calibri" w:eastAsia="Calibri" w:hAnsi="Calibri" w:cs="Calibri"/>
                <w:sz w:val="22"/>
              </w:rPr>
              <w:t>9-10</w:t>
            </w:r>
            <w:r>
              <w:rPr>
                <w:rFonts w:ascii="Calibri" w:eastAsia="Calibri" w:hAnsi="Calibri" w:cs="Calibri"/>
                <w:sz w:val="22"/>
              </w:rPr>
              <w:t>.1, L.</w:t>
            </w:r>
            <w:r w:rsidR="00FC3907">
              <w:rPr>
                <w:rFonts w:ascii="Calibri" w:eastAsia="Calibri" w:hAnsi="Calibri" w:cs="Calibri"/>
                <w:sz w:val="22"/>
              </w:rPr>
              <w:t>9-10</w:t>
            </w:r>
            <w:r>
              <w:rPr>
                <w:rFonts w:ascii="Calibri" w:eastAsia="Calibri" w:hAnsi="Calibri" w:cs="Calibri"/>
                <w:sz w:val="22"/>
              </w:rPr>
              <w:t>.2</w:t>
            </w:r>
          </w:p>
        </w:tc>
      </w:tr>
      <w:tr w:rsidR="009863A7" w:rsidRPr="003539A7" w:rsidTr="009863A7">
        <w:tc>
          <w:tcPr>
            <w:tcW w:w="1710" w:type="dxa"/>
            <w:tcMar>
              <w:top w:w="100" w:type="dxa"/>
              <w:left w:w="108" w:type="dxa"/>
              <w:bottom w:w="100" w:type="dxa"/>
              <w:right w:w="108" w:type="dxa"/>
            </w:tcMar>
          </w:tcPr>
          <w:p w:rsidR="009863A7" w:rsidRPr="00A836EB" w:rsidRDefault="009863A7" w:rsidP="009863A7">
            <w:pPr>
              <w:rPr>
                <w:b/>
              </w:rPr>
            </w:pPr>
            <w:r w:rsidRPr="00A836EB">
              <w:rPr>
                <w:b/>
              </w:rPr>
              <w:t>Description of Assessment</w:t>
            </w:r>
          </w:p>
        </w:tc>
        <w:tc>
          <w:tcPr>
            <w:tcW w:w="7750" w:type="dxa"/>
            <w:tcMar>
              <w:top w:w="100" w:type="dxa"/>
              <w:left w:w="108" w:type="dxa"/>
              <w:bottom w:w="100" w:type="dxa"/>
              <w:right w:w="108" w:type="dxa"/>
            </w:tcMar>
          </w:tcPr>
          <w:p w:rsidR="009863A7" w:rsidRDefault="009863A7" w:rsidP="009863A7">
            <w:pPr>
              <w:pStyle w:val="TableText"/>
            </w:pPr>
            <w:r>
              <w:t xml:space="preserve">Students write a multi-paragraph response to the following prompt: </w:t>
            </w:r>
          </w:p>
          <w:p w:rsidR="009863A7" w:rsidRPr="00A836EB" w:rsidRDefault="007258F0" w:rsidP="009863A7">
            <w:r>
              <w:t xml:space="preserve">How does Alvarez develop the claim she makes in paragraph 15? </w:t>
            </w:r>
          </w:p>
        </w:tc>
      </w:tr>
    </w:tbl>
    <w:p w:rsidR="009863A7" w:rsidRPr="003539A7" w:rsidRDefault="009863A7" w:rsidP="009863A7">
      <w:pPr>
        <w:pStyle w:val="Normal1"/>
      </w:pP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t>End-of-Unit Assessment</w:t>
            </w:r>
          </w:p>
        </w:tc>
      </w:tr>
      <w:tr w:rsidR="009863A7" w:rsidRPr="003539A7" w:rsidTr="009863A7">
        <w:tc>
          <w:tcPr>
            <w:tcW w:w="1710" w:type="dxa"/>
            <w:tcMar>
              <w:top w:w="100" w:type="dxa"/>
              <w:left w:w="108" w:type="dxa"/>
              <w:bottom w:w="100" w:type="dxa"/>
              <w:right w:w="108" w:type="dxa"/>
            </w:tcMar>
          </w:tcPr>
          <w:p w:rsidR="009863A7" w:rsidRPr="00A836EB" w:rsidRDefault="009863A7" w:rsidP="009863A7">
            <w:pPr>
              <w:rPr>
                <w:b/>
              </w:rPr>
            </w:pPr>
            <w:r w:rsidRPr="00A836EB">
              <w:rPr>
                <w:b/>
              </w:rPr>
              <w:t>Standards Assessed</w:t>
            </w:r>
          </w:p>
        </w:tc>
        <w:tc>
          <w:tcPr>
            <w:tcW w:w="7750" w:type="dxa"/>
            <w:tcMar>
              <w:top w:w="100" w:type="dxa"/>
              <w:left w:w="108" w:type="dxa"/>
              <w:bottom w:w="100" w:type="dxa"/>
              <w:right w:w="108" w:type="dxa"/>
            </w:tcMar>
          </w:tcPr>
          <w:p w:rsidR="009863A7" w:rsidRPr="00A836EB" w:rsidRDefault="007258F0" w:rsidP="007258F0">
            <w:pPr>
              <w:pStyle w:val="Normal3"/>
            </w:pPr>
            <w:r>
              <w:rPr>
                <w:rFonts w:ascii="Calibri" w:eastAsia="Calibri" w:hAnsi="Calibri" w:cs="Calibri"/>
                <w:sz w:val="22"/>
              </w:rPr>
              <w:t>RI</w:t>
            </w:r>
            <w:r w:rsidR="009863A7">
              <w:rPr>
                <w:rFonts w:ascii="Calibri" w:eastAsia="Calibri" w:hAnsi="Calibri" w:cs="Calibri"/>
                <w:sz w:val="22"/>
              </w:rPr>
              <w:t>.</w:t>
            </w:r>
            <w:r w:rsidR="00FC3907">
              <w:rPr>
                <w:rFonts w:ascii="Calibri" w:eastAsia="Calibri" w:hAnsi="Calibri" w:cs="Calibri"/>
                <w:sz w:val="22"/>
              </w:rPr>
              <w:t>9-10</w:t>
            </w:r>
            <w:r w:rsidR="009863A7">
              <w:rPr>
                <w:rFonts w:ascii="Calibri" w:eastAsia="Calibri" w:hAnsi="Calibri" w:cs="Calibri"/>
                <w:sz w:val="22"/>
              </w:rPr>
              <w:t>.</w:t>
            </w:r>
            <w:r>
              <w:rPr>
                <w:rFonts w:ascii="Calibri" w:eastAsia="Calibri" w:hAnsi="Calibri" w:cs="Calibri"/>
                <w:sz w:val="22"/>
              </w:rPr>
              <w:t>5</w:t>
            </w:r>
            <w:r w:rsidR="009863A7">
              <w:rPr>
                <w:rFonts w:ascii="Calibri" w:eastAsia="Calibri" w:hAnsi="Calibri" w:cs="Calibri"/>
                <w:sz w:val="22"/>
              </w:rPr>
              <w:t>, W.</w:t>
            </w:r>
            <w:r w:rsidR="00FC3907">
              <w:rPr>
                <w:rFonts w:ascii="Calibri" w:eastAsia="Calibri" w:hAnsi="Calibri" w:cs="Calibri"/>
                <w:sz w:val="22"/>
              </w:rPr>
              <w:t>9-10</w:t>
            </w:r>
            <w:r w:rsidR="009863A7">
              <w:rPr>
                <w:rFonts w:ascii="Calibri" w:eastAsia="Calibri" w:hAnsi="Calibri" w:cs="Calibri"/>
                <w:sz w:val="22"/>
              </w:rPr>
              <w:t xml:space="preserve">.2.a-f, </w:t>
            </w:r>
            <w:r w:rsidR="004F1BD3">
              <w:rPr>
                <w:rFonts w:ascii="Calibri" w:eastAsia="Calibri" w:hAnsi="Calibri" w:cs="Calibri"/>
                <w:sz w:val="22"/>
              </w:rPr>
              <w:t xml:space="preserve">W.9-10.9.b, </w:t>
            </w:r>
            <w:r w:rsidR="009863A7">
              <w:rPr>
                <w:rFonts w:ascii="Calibri" w:eastAsia="Calibri" w:hAnsi="Calibri" w:cs="Calibri"/>
                <w:sz w:val="22"/>
              </w:rPr>
              <w:t>L.</w:t>
            </w:r>
            <w:r w:rsidR="00FC3907">
              <w:rPr>
                <w:rFonts w:ascii="Calibri" w:eastAsia="Calibri" w:hAnsi="Calibri" w:cs="Calibri"/>
                <w:sz w:val="22"/>
              </w:rPr>
              <w:t>9-10</w:t>
            </w:r>
            <w:r w:rsidR="009863A7">
              <w:rPr>
                <w:rFonts w:ascii="Calibri" w:eastAsia="Calibri" w:hAnsi="Calibri" w:cs="Calibri"/>
                <w:sz w:val="22"/>
              </w:rPr>
              <w:t>.1, L.</w:t>
            </w:r>
            <w:r w:rsidR="00FC3907">
              <w:rPr>
                <w:rFonts w:ascii="Calibri" w:eastAsia="Calibri" w:hAnsi="Calibri" w:cs="Calibri"/>
                <w:sz w:val="22"/>
              </w:rPr>
              <w:t>9-10</w:t>
            </w:r>
            <w:r>
              <w:rPr>
                <w:rFonts w:ascii="Calibri" w:eastAsia="Calibri" w:hAnsi="Calibri" w:cs="Calibri"/>
                <w:sz w:val="22"/>
              </w:rPr>
              <w:t>.2</w:t>
            </w:r>
          </w:p>
        </w:tc>
      </w:tr>
      <w:tr w:rsidR="009863A7" w:rsidRPr="003539A7" w:rsidTr="009863A7">
        <w:trPr>
          <w:trHeight w:val="740"/>
        </w:trPr>
        <w:tc>
          <w:tcPr>
            <w:tcW w:w="1710" w:type="dxa"/>
            <w:tcMar>
              <w:top w:w="100" w:type="dxa"/>
              <w:left w:w="108" w:type="dxa"/>
              <w:bottom w:w="100" w:type="dxa"/>
              <w:right w:w="108" w:type="dxa"/>
            </w:tcMar>
          </w:tcPr>
          <w:p w:rsidR="009863A7" w:rsidRPr="00A836EB" w:rsidRDefault="009863A7" w:rsidP="009863A7">
            <w:pPr>
              <w:rPr>
                <w:b/>
              </w:rPr>
            </w:pPr>
            <w:r w:rsidRPr="00A836EB">
              <w:rPr>
                <w:b/>
              </w:rPr>
              <w:t>Description of Assessment</w:t>
            </w:r>
          </w:p>
        </w:tc>
        <w:tc>
          <w:tcPr>
            <w:tcW w:w="7750" w:type="dxa"/>
            <w:tcMar>
              <w:top w:w="100" w:type="dxa"/>
              <w:left w:w="108" w:type="dxa"/>
              <w:bottom w:w="100" w:type="dxa"/>
              <w:right w:w="108" w:type="dxa"/>
            </w:tcMar>
          </w:tcPr>
          <w:p w:rsidR="009863A7" w:rsidRDefault="009863A7" w:rsidP="009863A7">
            <w:r>
              <w:t>Students will answer the following prompt based on their work in this unit:</w:t>
            </w:r>
          </w:p>
          <w:p w:rsidR="009863A7" w:rsidRPr="00A836EB" w:rsidRDefault="007258F0" w:rsidP="009863A7">
            <w:r>
              <w:t>How does the sentence “No flies fly into a closed mouth”</w:t>
            </w:r>
            <w:r w:rsidR="00264EB8">
              <w:t xml:space="preserve"> (par. 21)</w:t>
            </w:r>
            <w:r>
              <w:t xml:space="preserve"> develop and refine one of Alvarez’s ideas in “A Genetics of Justice”?</w:t>
            </w:r>
          </w:p>
        </w:tc>
      </w:tr>
    </w:tbl>
    <w:p w:rsidR="009863A7" w:rsidRPr="00A01D73" w:rsidRDefault="009863A7" w:rsidP="0043577D">
      <w:pPr>
        <w:pStyle w:val="Heading1"/>
        <w:spacing w:before="360"/>
        <w:rPr>
          <w:rFonts w:asciiTheme="majorHAnsi" w:hAnsiTheme="majorHAnsi"/>
        </w:rPr>
      </w:pPr>
      <w:r w:rsidRPr="00A01D73">
        <w:rPr>
          <w:rFonts w:asciiTheme="majorHAnsi" w:hAnsiTheme="majorHAnsi"/>
        </w:rPr>
        <w:t>Unit-at-a-Glance Calendar</w:t>
      </w:r>
    </w:p>
    <w:tbl>
      <w:tblPr>
        <w:tblW w:w="979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10"/>
        <w:gridCol w:w="1800"/>
        <w:gridCol w:w="7083"/>
      </w:tblGrid>
      <w:tr w:rsidR="009863A7" w:rsidTr="009863A7">
        <w:trPr>
          <w:trHeight w:val="460"/>
        </w:trPr>
        <w:tc>
          <w:tcPr>
            <w:tcW w:w="910" w:type="dxa"/>
            <w:shd w:val="clear" w:color="auto" w:fill="5F497A"/>
            <w:tcMar>
              <w:top w:w="100" w:type="dxa"/>
              <w:left w:w="108" w:type="dxa"/>
              <w:bottom w:w="100" w:type="dxa"/>
              <w:right w:w="108" w:type="dxa"/>
            </w:tcMar>
          </w:tcPr>
          <w:p w:rsidR="009863A7" w:rsidRDefault="009863A7" w:rsidP="009863A7">
            <w:pPr>
              <w:pStyle w:val="Normal2"/>
              <w:contextualSpacing w:val="0"/>
              <w:jc w:val="center"/>
            </w:pPr>
            <w:r>
              <w:rPr>
                <w:b/>
                <w:color w:val="FFFFFF"/>
              </w:rPr>
              <w:t>Lesson</w:t>
            </w:r>
          </w:p>
        </w:tc>
        <w:tc>
          <w:tcPr>
            <w:tcW w:w="1800" w:type="dxa"/>
            <w:shd w:val="clear" w:color="auto" w:fill="5F497A"/>
            <w:tcMar>
              <w:top w:w="100" w:type="dxa"/>
              <w:left w:w="108" w:type="dxa"/>
              <w:bottom w:w="100" w:type="dxa"/>
              <w:right w:w="108" w:type="dxa"/>
            </w:tcMar>
          </w:tcPr>
          <w:p w:rsidR="009863A7" w:rsidRDefault="009863A7" w:rsidP="009863A7">
            <w:pPr>
              <w:pStyle w:val="Normal2"/>
              <w:contextualSpacing w:val="0"/>
            </w:pPr>
            <w:r>
              <w:rPr>
                <w:b/>
                <w:color w:val="FFFFFF"/>
              </w:rPr>
              <w:t>Text to be Covered</w:t>
            </w:r>
          </w:p>
        </w:tc>
        <w:tc>
          <w:tcPr>
            <w:tcW w:w="7083" w:type="dxa"/>
            <w:shd w:val="clear" w:color="auto" w:fill="5F497A"/>
            <w:tcMar>
              <w:top w:w="100" w:type="dxa"/>
              <w:left w:w="108" w:type="dxa"/>
              <w:bottom w:w="100" w:type="dxa"/>
              <w:right w:w="108" w:type="dxa"/>
            </w:tcMar>
          </w:tcPr>
          <w:p w:rsidR="009863A7" w:rsidRDefault="009863A7" w:rsidP="009863A7">
            <w:pPr>
              <w:pStyle w:val="Normal2"/>
              <w:contextualSpacing w:val="0"/>
            </w:pPr>
            <w:r>
              <w:rPr>
                <w:b/>
                <w:color w:val="FFFFFF"/>
              </w:rPr>
              <w:t>Learning Outcomes/Goals</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t>1</w:t>
            </w:r>
          </w:p>
        </w:tc>
        <w:tc>
          <w:tcPr>
            <w:tcW w:w="1800" w:type="dxa"/>
            <w:tcMar>
              <w:top w:w="100" w:type="dxa"/>
              <w:left w:w="108" w:type="dxa"/>
              <w:bottom w:w="100" w:type="dxa"/>
              <w:right w:w="108" w:type="dxa"/>
            </w:tcMar>
          </w:tcPr>
          <w:p w:rsidR="009863A7" w:rsidRPr="00FC7E03" w:rsidRDefault="00A4639E" w:rsidP="00264EB8">
            <w:pPr>
              <w:pStyle w:val="TableText"/>
            </w:pPr>
            <w:r>
              <w:t xml:space="preserve">“A Genetics of </w:t>
            </w:r>
            <w:r w:rsidRPr="0043577D">
              <w:rPr>
                <w:spacing w:val="-2"/>
              </w:rPr>
              <w:t>Justice” (par. 1–</w:t>
            </w:r>
            <w:r w:rsidR="00A75AE1" w:rsidRPr="0043577D">
              <w:rPr>
                <w:spacing w:val="-2"/>
              </w:rPr>
              <w:t>6)</w:t>
            </w:r>
            <w:r w:rsidR="009863A7" w:rsidRPr="0043577D">
              <w:rPr>
                <w:spacing w:val="-2"/>
              </w:rPr>
              <w:t xml:space="preserve"> </w:t>
            </w:r>
          </w:p>
        </w:tc>
        <w:tc>
          <w:tcPr>
            <w:tcW w:w="7083" w:type="dxa"/>
            <w:tcMar>
              <w:top w:w="100" w:type="dxa"/>
              <w:left w:w="108" w:type="dxa"/>
              <w:bottom w:w="100" w:type="dxa"/>
              <w:right w:w="108" w:type="dxa"/>
            </w:tcMar>
          </w:tcPr>
          <w:p w:rsidR="009863A7" w:rsidRPr="00FC7E03" w:rsidRDefault="00703B2E" w:rsidP="00264EB8">
            <w:pPr>
              <w:pStyle w:val="TableText"/>
            </w:pPr>
            <w:r>
              <w:t xml:space="preserve">In this first lesson of the unit, students read and analyze paragraphs 1–6 of Julia Alvarez’s “A Genetics of Justice” in which Alvarez begins to provide her reason for writing the essay and to explain the dictator Rafael Trujillo’s </w:t>
            </w:r>
            <w:r>
              <w:lastRenderedPageBreak/>
              <w:t>impact on her mother. Students engage in small group discussions and analyze how Alvarez unfolds Trujillo’s impact on her mother’s life in her essay. Student learning culminates in a Quick Write that requires students to analyze how Alvarez begins to unfold a series of ideas.</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lastRenderedPageBreak/>
              <w:t>2</w:t>
            </w:r>
          </w:p>
        </w:tc>
        <w:tc>
          <w:tcPr>
            <w:tcW w:w="1800" w:type="dxa"/>
            <w:tcMar>
              <w:top w:w="100" w:type="dxa"/>
              <w:left w:w="108" w:type="dxa"/>
              <w:bottom w:w="100" w:type="dxa"/>
              <w:right w:w="108" w:type="dxa"/>
            </w:tcMar>
          </w:tcPr>
          <w:p w:rsidR="009863A7" w:rsidRDefault="00EF00D1" w:rsidP="00264EB8">
            <w:pPr>
              <w:pStyle w:val="TableText"/>
            </w:pPr>
            <w:r>
              <w:t xml:space="preserve">“A Genetics of </w:t>
            </w:r>
            <w:r w:rsidRPr="0043577D">
              <w:rPr>
                <w:spacing w:val="-2"/>
              </w:rPr>
              <w:t>Justice” (par. 7–</w:t>
            </w:r>
            <w:r w:rsidR="00A75AE1" w:rsidRPr="0043577D">
              <w:rPr>
                <w:spacing w:val="-2"/>
              </w:rPr>
              <w:t>8)</w:t>
            </w:r>
          </w:p>
          <w:p w:rsidR="00703B2E" w:rsidRPr="00FC7E03" w:rsidRDefault="00703B2E" w:rsidP="00264EB8">
            <w:pPr>
              <w:pStyle w:val="TableText"/>
            </w:pPr>
            <w:r>
              <w:t>“Remembering To Never Forget”</w:t>
            </w:r>
          </w:p>
        </w:tc>
        <w:tc>
          <w:tcPr>
            <w:tcW w:w="7083" w:type="dxa"/>
            <w:tcMar>
              <w:top w:w="100" w:type="dxa"/>
              <w:left w:w="108" w:type="dxa"/>
              <w:bottom w:w="100" w:type="dxa"/>
              <w:right w:w="108" w:type="dxa"/>
            </w:tcMar>
          </w:tcPr>
          <w:p w:rsidR="009863A7" w:rsidRPr="00FC7E03" w:rsidRDefault="00703B2E" w:rsidP="00264EB8">
            <w:pPr>
              <w:pStyle w:val="TableText"/>
            </w:pPr>
            <w:r>
              <w:t xml:space="preserve">In this lesson, students read and analyze paragraphs 7 and 8 of “A Genetics of Justice” in which Alvarez goes into specific detail about Trujillo’s megalomania and vanity as described by her mother. Students first read and discuss Mark </w:t>
            </w:r>
            <w:proofErr w:type="spellStart"/>
            <w:r>
              <w:t>Memmott’s</w:t>
            </w:r>
            <w:proofErr w:type="spellEnd"/>
            <w:r>
              <w:t xml:space="preserve"> article “Remembering To Never Forget” to deepen their understanding of Rafael Trujillo. Students analyze how each text uses details to develop ideas around Trujillo to ascertain how the subject is approached across two different mediums.</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t>3</w:t>
            </w:r>
          </w:p>
        </w:tc>
        <w:tc>
          <w:tcPr>
            <w:tcW w:w="1800" w:type="dxa"/>
            <w:tcMar>
              <w:top w:w="100" w:type="dxa"/>
              <w:left w:w="108" w:type="dxa"/>
              <w:bottom w:w="100" w:type="dxa"/>
              <w:right w:w="108" w:type="dxa"/>
            </w:tcMar>
          </w:tcPr>
          <w:p w:rsidR="009863A7" w:rsidRPr="00FC7E03" w:rsidRDefault="00E15BCF" w:rsidP="00264EB8">
            <w:pPr>
              <w:pStyle w:val="TableText"/>
            </w:pPr>
            <w:r>
              <w:t>“A Genetics of Justice” (par. 9–</w:t>
            </w:r>
            <w:r w:rsidR="00A75AE1">
              <w:t>11)</w:t>
            </w:r>
          </w:p>
        </w:tc>
        <w:tc>
          <w:tcPr>
            <w:tcW w:w="7083" w:type="dxa"/>
            <w:tcMar>
              <w:top w:w="100" w:type="dxa"/>
              <w:left w:w="108" w:type="dxa"/>
              <w:bottom w:w="100" w:type="dxa"/>
              <w:right w:w="108" w:type="dxa"/>
            </w:tcMar>
          </w:tcPr>
          <w:p w:rsidR="009863A7" w:rsidRPr="00FC7E03" w:rsidRDefault="00703B2E" w:rsidP="00264EB8">
            <w:pPr>
              <w:pStyle w:val="TableText"/>
            </w:pPr>
            <w:r>
              <w:t>In this lesson, students read paragraphs 9–11 of “A Genetics of Justice” in which Alvarez describes the series of events that lead to her family’s return to the Dominican Republic and the necessary humiliations they must endure to escape Trujillo’s grip. Students analyze how the events that Alvarez unfolds develop an idea central to the text.</w:t>
            </w:r>
          </w:p>
        </w:tc>
      </w:tr>
      <w:tr w:rsidR="00A75AE1" w:rsidRPr="00FC7E03" w:rsidTr="009863A7">
        <w:trPr>
          <w:trHeight w:val="340"/>
        </w:trPr>
        <w:tc>
          <w:tcPr>
            <w:tcW w:w="910" w:type="dxa"/>
            <w:tcMar>
              <w:top w:w="100" w:type="dxa"/>
              <w:left w:w="108" w:type="dxa"/>
              <w:bottom w:w="100" w:type="dxa"/>
              <w:right w:w="108" w:type="dxa"/>
            </w:tcMar>
          </w:tcPr>
          <w:p w:rsidR="00A75AE1" w:rsidRPr="00FC7E03" w:rsidRDefault="00A75AE1" w:rsidP="009863A7">
            <w:pPr>
              <w:jc w:val="center"/>
            </w:pPr>
            <w:r w:rsidRPr="00FC7E03">
              <w:t>4</w:t>
            </w:r>
          </w:p>
        </w:tc>
        <w:tc>
          <w:tcPr>
            <w:tcW w:w="1800" w:type="dxa"/>
            <w:tcMar>
              <w:top w:w="100" w:type="dxa"/>
              <w:left w:w="108" w:type="dxa"/>
              <w:bottom w:w="100" w:type="dxa"/>
              <w:right w:w="108" w:type="dxa"/>
            </w:tcMar>
          </w:tcPr>
          <w:p w:rsidR="00A75AE1" w:rsidRPr="00FC7E03" w:rsidRDefault="00A75AE1" w:rsidP="00264EB8">
            <w:pPr>
              <w:pStyle w:val="TableText"/>
            </w:pPr>
            <w:r w:rsidRPr="00163DC3">
              <w:t xml:space="preserve">“A Genetics of Justice” </w:t>
            </w:r>
            <w:r w:rsidR="00E15BCF">
              <w:t>(par. 12–</w:t>
            </w:r>
            <w:r>
              <w:t>15)</w:t>
            </w:r>
          </w:p>
        </w:tc>
        <w:tc>
          <w:tcPr>
            <w:tcW w:w="7083" w:type="dxa"/>
            <w:tcMar>
              <w:top w:w="100" w:type="dxa"/>
              <w:left w:w="108" w:type="dxa"/>
              <w:bottom w:w="100" w:type="dxa"/>
              <w:right w:w="108" w:type="dxa"/>
            </w:tcMar>
          </w:tcPr>
          <w:p w:rsidR="00A75AE1" w:rsidRPr="00FC7E03" w:rsidRDefault="00567127" w:rsidP="00264EB8">
            <w:pPr>
              <w:pStyle w:val="TableText"/>
            </w:pPr>
            <w:r>
              <w:t>In this lesson, students read and analyze paragraphs 12–15 of “A Genetics of Justice” in which Alvarez describes her mother’s forced participation in a parade of women honoring Trujillo. Students explore how Alvarez develops central ideas of trauma and freedom through her recreated version of her mother’s experiences.</w:t>
            </w:r>
          </w:p>
        </w:tc>
      </w:tr>
      <w:tr w:rsidR="00A75AE1" w:rsidRPr="00FC7E03" w:rsidTr="009863A7">
        <w:trPr>
          <w:trHeight w:val="340"/>
        </w:trPr>
        <w:tc>
          <w:tcPr>
            <w:tcW w:w="910" w:type="dxa"/>
            <w:tcMar>
              <w:top w:w="100" w:type="dxa"/>
              <w:left w:w="108" w:type="dxa"/>
              <w:bottom w:w="100" w:type="dxa"/>
              <w:right w:w="108" w:type="dxa"/>
            </w:tcMar>
          </w:tcPr>
          <w:p w:rsidR="00A75AE1" w:rsidRPr="00FC7E03" w:rsidRDefault="00A75AE1" w:rsidP="009863A7">
            <w:pPr>
              <w:jc w:val="center"/>
            </w:pPr>
            <w:r w:rsidRPr="00FC7E03">
              <w:t>5</w:t>
            </w:r>
          </w:p>
        </w:tc>
        <w:tc>
          <w:tcPr>
            <w:tcW w:w="1800" w:type="dxa"/>
            <w:tcMar>
              <w:top w:w="100" w:type="dxa"/>
              <w:left w:w="108" w:type="dxa"/>
              <w:bottom w:w="100" w:type="dxa"/>
              <w:right w:w="108" w:type="dxa"/>
            </w:tcMar>
          </w:tcPr>
          <w:p w:rsidR="00A75AE1" w:rsidRPr="00FC7E03" w:rsidRDefault="00A75AE1" w:rsidP="00264EB8">
            <w:pPr>
              <w:pStyle w:val="TableText"/>
            </w:pPr>
            <w:r w:rsidRPr="00163DC3">
              <w:t xml:space="preserve">“A Genetics of </w:t>
            </w:r>
            <w:r w:rsidRPr="004E41C0">
              <w:rPr>
                <w:spacing w:val="-2"/>
              </w:rPr>
              <w:t xml:space="preserve">Justice” </w:t>
            </w:r>
            <w:r w:rsidR="00E15BCF" w:rsidRPr="004E41C0">
              <w:rPr>
                <w:spacing w:val="-2"/>
              </w:rPr>
              <w:t>(par. 1–</w:t>
            </w:r>
            <w:r w:rsidRPr="004E41C0">
              <w:rPr>
                <w:spacing w:val="-2"/>
              </w:rPr>
              <w:t>15)</w:t>
            </w:r>
          </w:p>
        </w:tc>
        <w:tc>
          <w:tcPr>
            <w:tcW w:w="7083" w:type="dxa"/>
            <w:tcMar>
              <w:top w:w="100" w:type="dxa"/>
              <w:left w:w="108" w:type="dxa"/>
              <w:bottom w:w="100" w:type="dxa"/>
              <w:right w:w="108" w:type="dxa"/>
            </w:tcMar>
          </w:tcPr>
          <w:p w:rsidR="00A75AE1" w:rsidRPr="00FC7E03" w:rsidRDefault="00567127" w:rsidP="00264EB8">
            <w:pPr>
              <w:pStyle w:val="TableText"/>
            </w:pPr>
            <w:r>
              <w:t>In this Mid-Unit Assessment, students use textual evidence from paragraphs 1–15 of Julia Alvarez’s “A Genetics of Justice” to craft a formal, multi-paragraph essay identifying Alvarez’s claim in paragraph 15 and addressing how she develops this claim. Students review their annotated text, lesson Quick Writes, discussion notes, and homework notes to organize their ideas. Students then develop their essays with relevant and sufficient facts, extended definitions, concrete details, and quotations.</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t>6</w:t>
            </w:r>
          </w:p>
        </w:tc>
        <w:tc>
          <w:tcPr>
            <w:tcW w:w="1800" w:type="dxa"/>
            <w:tcMar>
              <w:top w:w="100" w:type="dxa"/>
              <w:left w:w="108" w:type="dxa"/>
              <w:bottom w:w="100" w:type="dxa"/>
              <w:right w:w="108" w:type="dxa"/>
            </w:tcMar>
          </w:tcPr>
          <w:p w:rsidR="009863A7" w:rsidRPr="00FC7E03" w:rsidRDefault="00A75AE1" w:rsidP="00264EB8">
            <w:pPr>
              <w:pStyle w:val="TableText"/>
            </w:pPr>
            <w:r>
              <w:t>“</w:t>
            </w:r>
            <w:r w:rsidR="00E15BCF">
              <w:t>A Genetics of Justice” (par. 16–</w:t>
            </w:r>
            <w:r>
              <w:t>19)</w:t>
            </w:r>
          </w:p>
        </w:tc>
        <w:tc>
          <w:tcPr>
            <w:tcW w:w="7083" w:type="dxa"/>
            <w:tcMar>
              <w:top w:w="100" w:type="dxa"/>
              <w:left w:w="108" w:type="dxa"/>
              <w:bottom w:w="100" w:type="dxa"/>
              <w:right w:w="108" w:type="dxa"/>
            </w:tcMar>
          </w:tcPr>
          <w:p w:rsidR="009863A7" w:rsidRPr="001F4743" w:rsidRDefault="00567127" w:rsidP="00264EB8">
            <w:pPr>
              <w:pStyle w:val="TableText"/>
              <w:rPr>
                <w:color w:val="000000"/>
                <w:sz w:val="23"/>
                <w:szCs w:val="23"/>
              </w:rPr>
            </w:pPr>
            <w:r>
              <w:t>In this lesson, students</w:t>
            </w:r>
            <w:r w:rsidR="00E15BCF">
              <w:t xml:space="preserve"> read and analyze paragraphs 16–</w:t>
            </w:r>
            <w:r>
              <w:t xml:space="preserve">19 of “A Genetics of Justice,” in which Alvarez describes Trujillo’s downfall and the ongoing effects on her parents’ psyche of living under his rule. Students engage in </w:t>
            </w:r>
            <w:r w:rsidR="00753906">
              <w:t>evidence-based discussion explo</w:t>
            </w:r>
            <w:r>
              <w:t xml:space="preserve">ring how Alvarez introduces ideas of trauma </w:t>
            </w:r>
            <w:r>
              <w:lastRenderedPageBreak/>
              <w:t>and silence, before demonstrating their learning through a Quick Write that addresses how Alvarez develops and r</w:t>
            </w:r>
            <w:r w:rsidR="00CC431D">
              <w:t>efines ideas from paragraphs 16–</w:t>
            </w:r>
            <w:r>
              <w:t>19 in paragraph 19.</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lastRenderedPageBreak/>
              <w:t>7</w:t>
            </w:r>
          </w:p>
        </w:tc>
        <w:tc>
          <w:tcPr>
            <w:tcW w:w="1800" w:type="dxa"/>
            <w:tcMar>
              <w:top w:w="100" w:type="dxa"/>
              <w:left w:w="108" w:type="dxa"/>
              <w:bottom w:w="100" w:type="dxa"/>
              <w:right w:w="108" w:type="dxa"/>
            </w:tcMar>
          </w:tcPr>
          <w:p w:rsidR="009863A7" w:rsidRPr="00FC7E03" w:rsidRDefault="00A75AE1" w:rsidP="00264EB8">
            <w:pPr>
              <w:pStyle w:val="TableText"/>
            </w:pPr>
            <w:r>
              <w:t>“</w:t>
            </w:r>
            <w:r w:rsidR="00CC431D">
              <w:t>A Genetics of Justice” (par. 20–</w:t>
            </w:r>
            <w:r>
              <w:t>22)</w:t>
            </w:r>
          </w:p>
        </w:tc>
        <w:tc>
          <w:tcPr>
            <w:tcW w:w="7083" w:type="dxa"/>
            <w:tcMar>
              <w:top w:w="100" w:type="dxa"/>
              <w:left w:w="108" w:type="dxa"/>
              <w:bottom w:w="100" w:type="dxa"/>
              <w:right w:w="108" w:type="dxa"/>
            </w:tcMar>
          </w:tcPr>
          <w:p w:rsidR="009863A7" w:rsidRPr="00FC7E03" w:rsidRDefault="00567127" w:rsidP="00264EB8">
            <w:pPr>
              <w:pStyle w:val="TableText"/>
            </w:pPr>
            <w:r>
              <w:t>In this lesson, students read and analyze paragraphs 20–22 of “A Genetics of Justice,</w:t>
            </w:r>
            <w:r w:rsidR="009D375C">
              <w:t>”</w:t>
            </w:r>
            <w:r>
              <w:t xml:space="preserve"> in which Alvarez elaborates on her description of her mother’s enduring terror of the Trujillo regime and the “mandate of silence” which she imposes on her family. After engaging in </w:t>
            </w:r>
            <w:r w:rsidR="004211E9">
              <w:t xml:space="preserve">an </w:t>
            </w:r>
            <w:r>
              <w:t>evidence-based discussion of the ideas developed in paragraphs 20–22, students participate in small group discussions in which they determine how these ideas refine ideas from paragraphs 3–7. The lesson closes with a Quick Write in response to the following prompt: In paragraphs 20–22, how does Alvarez further develop ideas she introduces in paragraphs 3–7?</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t>8</w:t>
            </w:r>
          </w:p>
        </w:tc>
        <w:tc>
          <w:tcPr>
            <w:tcW w:w="1800" w:type="dxa"/>
            <w:tcMar>
              <w:top w:w="100" w:type="dxa"/>
              <w:left w:w="108" w:type="dxa"/>
              <w:bottom w:w="100" w:type="dxa"/>
              <w:right w:w="108" w:type="dxa"/>
            </w:tcMar>
          </w:tcPr>
          <w:p w:rsidR="009863A7" w:rsidRPr="00FC7E03" w:rsidRDefault="009863A7" w:rsidP="00264EB8">
            <w:pPr>
              <w:pStyle w:val="TableText"/>
            </w:pPr>
            <w:r w:rsidRPr="00CD44BF" w:rsidDel="00E33A71">
              <w:rPr>
                <w:i/>
              </w:rPr>
              <w:t xml:space="preserve"> </w:t>
            </w:r>
            <w:r w:rsidR="00A75AE1">
              <w:t>“</w:t>
            </w:r>
            <w:r w:rsidR="00885633">
              <w:t>A Genetics of Justice” (par. 23–</w:t>
            </w:r>
            <w:r w:rsidR="00A75AE1">
              <w:t>26)</w:t>
            </w:r>
          </w:p>
        </w:tc>
        <w:tc>
          <w:tcPr>
            <w:tcW w:w="7083" w:type="dxa"/>
            <w:tcMar>
              <w:top w:w="100" w:type="dxa"/>
              <w:left w:w="108" w:type="dxa"/>
              <w:bottom w:w="100" w:type="dxa"/>
              <w:right w:w="108" w:type="dxa"/>
            </w:tcMar>
          </w:tcPr>
          <w:p w:rsidR="009863A7" w:rsidRPr="00FC7E03" w:rsidRDefault="00567127" w:rsidP="00264EB8">
            <w:pPr>
              <w:pStyle w:val="TableText"/>
            </w:pPr>
            <w:r>
              <w:t>In this lesson, students</w:t>
            </w:r>
            <w:r w:rsidR="00885633">
              <w:t xml:space="preserve"> read and analyze paragraphs 23–</w:t>
            </w:r>
            <w:r>
              <w:t>26 of “A Genetics of Justice</w:t>
            </w:r>
            <w:r w:rsidR="009D375C">
              <w:t>,</w:t>
            </w:r>
            <w:r>
              <w:t xml:space="preserve">” in which Alvarez describes her relationship with her mother. Students explore how Alvarez unfolds and connects her ideas and then analyze how she uses specific details to shape and refine central ideas. </w:t>
            </w:r>
          </w:p>
        </w:tc>
      </w:tr>
      <w:tr w:rsidR="00A75AE1" w:rsidRPr="00FC7E03" w:rsidTr="009863A7">
        <w:trPr>
          <w:trHeight w:val="340"/>
        </w:trPr>
        <w:tc>
          <w:tcPr>
            <w:tcW w:w="910" w:type="dxa"/>
            <w:tcMar>
              <w:top w:w="100" w:type="dxa"/>
              <w:left w:w="108" w:type="dxa"/>
              <w:bottom w:w="100" w:type="dxa"/>
              <w:right w:w="108" w:type="dxa"/>
            </w:tcMar>
          </w:tcPr>
          <w:p w:rsidR="00A75AE1" w:rsidRPr="00FC7E03" w:rsidRDefault="00A75AE1" w:rsidP="009863A7">
            <w:pPr>
              <w:jc w:val="center"/>
            </w:pPr>
            <w:r>
              <w:t>9</w:t>
            </w:r>
          </w:p>
        </w:tc>
        <w:tc>
          <w:tcPr>
            <w:tcW w:w="1800" w:type="dxa"/>
            <w:tcMar>
              <w:top w:w="100" w:type="dxa"/>
              <w:left w:w="108" w:type="dxa"/>
              <w:bottom w:w="100" w:type="dxa"/>
              <w:right w:w="108" w:type="dxa"/>
            </w:tcMar>
          </w:tcPr>
          <w:p w:rsidR="00A75AE1" w:rsidRPr="00CD44BF" w:rsidDel="00E33A71" w:rsidRDefault="00A75AE1" w:rsidP="00264EB8">
            <w:pPr>
              <w:pStyle w:val="TableText"/>
              <w:rPr>
                <w:i/>
              </w:rPr>
            </w:pPr>
            <w:r>
              <w:t>“</w:t>
            </w:r>
            <w:r w:rsidR="00885633">
              <w:t>A Genetics of Justice” (par. 27–</w:t>
            </w:r>
            <w:r>
              <w:t>31)</w:t>
            </w:r>
          </w:p>
        </w:tc>
        <w:tc>
          <w:tcPr>
            <w:tcW w:w="7083" w:type="dxa"/>
            <w:tcMar>
              <w:top w:w="100" w:type="dxa"/>
              <w:left w:w="108" w:type="dxa"/>
              <w:bottom w:w="100" w:type="dxa"/>
              <w:right w:w="108" w:type="dxa"/>
            </w:tcMar>
          </w:tcPr>
          <w:p w:rsidR="00A75AE1" w:rsidRPr="00FC7E03" w:rsidRDefault="003829A2" w:rsidP="00264EB8">
            <w:pPr>
              <w:pStyle w:val="TableText"/>
            </w:pPr>
            <w:r>
              <w:t>In this lesson, students</w:t>
            </w:r>
            <w:r w:rsidR="00885633">
              <w:t xml:space="preserve"> read and analyze paragraphs 27–</w:t>
            </w:r>
            <w:r>
              <w:t xml:space="preserve">31 of “A Genetics of Justice” in which Alvarez describes her choice to become a writer and the challenges she faces when she decides to publish a novel critical of Trujillo’s dictatorship. Students explore how portions of the text develop and refine Alvarez’s ideas and claims. Additionally, students analyze the powerful family moment and reflection Alvarez uses to conclude the essay. </w:t>
            </w:r>
          </w:p>
        </w:tc>
      </w:tr>
      <w:tr w:rsidR="00A75AE1" w:rsidRPr="00FC7E03" w:rsidTr="009863A7">
        <w:trPr>
          <w:trHeight w:val="340"/>
        </w:trPr>
        <w:tc>
          <w:tcPr>
            <w:tcW w:w="910" w:type="dxa"/>
            <w:tcMar>
              <w:top w:w="100" w:type="dxa"/>
              <w:left w:w="108" w:type="dxa"/>
              <w:bottom w:w="100" w:type="dxa"/>
              <w:right w:w="108" w:type="dxa"/>
            </w:tcMar>
          </w:tcPr>
          <w:p w:rsidR="00A75AE1" w:rsidRPr="00FC7E03" w:rsidRDefault="00A75AE1" w:rsidP="009863A7">
            <w:pPr>
              <w:jc w:val="center"/>
            </w:pPr>
            <w:r>
              <w:t>10</w:t>
            </w:r>
          </w:p>
        </w:tc>
        <w:tc>
          <w:tcPr>
            <w:tcW w:w="1800" w:type="dxa"/>
            <w:tcMar>
              <w:top w:w="100" w:type="dxa"/>
              <w:left w:w="108" w:type="dxa"/>
              <w:bottom w:w="100" w:type="dxa"/>
              <w:right w:w="108" w:type="dxa"/>
            </w:tcMar>
          </w:tcPr>
          <w:p w:rsidR="00A75AE1" w:rsidRPr="00CD44BF" w:rsidDel="00E33A71" w:rsidRDefault="00A75AE1" w:rsidP="00264EB8">
            <w:pPr>
              <w:pStyle w:val="TableText"/>
              <w:rPr>
                <w:i/>
              </w:rPr>
            </w:pPr>
            <w:r>
              <w:t>“A Genetics of Justice”</w:t>
            </w:r>
          </w:p>
        </w:tc>
        <w:tc>
          <w:tcPr>
            <w:tcW w:w="7083" w:type="dxa"/>
            <w:tcMar>
              <w:top w:w="100" w:type="dxa"/>
              <w:left w:w="108" w:type="dxa"/>
              <w:bottom w:w="100" w:type="dxa"/>
              <w:right w:w="108" w:type="dxa"/>
            </w:tcMar>
          </w:tcPr>
          <w:p w:rsidR="00A75AE1" w:rsidRPr="00FC7E03" w:rsidRDefault="003829A2" w:rsidP="00264EB8">
            <w:pPr>
              <w:pStyle w:val="TableText"/>
            </w:pPr>
            <w:r>
              <w:t>In this End-of-Unit Assessment, students use textual evidence from “A Genetics of Justice” to craft a formal, multi-paragraph essay analyzing how the sentence “No flies fly into a closed mouth”</w:t>
            </w:r>
            <w:r w:rsidR="00264EB8">
              <w:t xml:space="preserve"> (par. 21)</w:t>
            </w:r>
            <w:r>
              <w:t xml:space="preserve"> develops and refines an idea from the essay. Students review their annotated text, lesson Quick Writes, discussion notes, homework notes, and tools to organize their ideas. Students then develop their essays with relevant and sufficient facts, extended definitions, concrete details and quotations. </w:t>
            </w:r>
          </w:p>
        </w:tc>
      </w:tr>
    </w:tbl>
    <w:p w:rsidR="009863A7" w:rsidRDefault="009863A7" w:rsidP="009863A7">
      <w:pPr>
        <w:pStyle w:val="Normal1"/>
      </w:pPr>
    </w:p>
    <w:p w:rsidR="00264EB8" w:rsidRDefault="00264EB8">
      <w:pPr>
        <w:spacing w:before="0" w:after="200" w:line="240" w:lineRule="auto"/>
        <w:rPr>
          <w:rFonts w:asciiTheme="majorHAnsi" w:eastAsia="Cambria" w:hAnsiTheme="majorHAnsi" w:cs="Cambria"/>
          <w:b/>
          <w:color w:val="365F91"/>
          <w:sz w:val="28"/>
          <w:szCs w:val="24"/>
          <w:lang w:eastAsia="ja-JP"/>
        </w:rPr>
      </w:pPr>
      <w:r>
        <w:rPr>
          <w:rFonts w:asciiTheme="majorHAnsi" w:hAnsiTheme="majorHAnsi"/>
        </w:rPr>
        <w:br w:type="page"/>
      </w:r>
    </w:p>
    <w:p w:rsidR="009863A7" w:rsidRPr="005B6EE5" w:rsidRDefault="009863A7" w:rsidP="009863A7">
      <w:pPr>
        <w:pStyle w:val="Heading1"/>
        <w:spacing w:before="320"/>
        <w:rPr>
          <w:rFonts w:asciiTheme="majorHAnsi" w:hAnsiTheme="majorHAnsi"/>
        </w:rPr>
      </w:pPr>
      <w:r w:rsidRPr="005B6EE5">
        <w:rPr>
          <w:rFonts w:asciiTheme="majorHAnsi" w:hAnsiTheme="majorHAnsi"/>
        </w:rPr>
        <w:lastRenderedPageBreak/>
        <w:t>Preparation, Materials, and Resources</w:t>
      </w:r>
    </w:p>
    <w:p w:rsidR="009863A7" w:rsidRPr="008F708C" w:rsidRDefault="009863A7" w:rsidP="009863A7">
      <w:pPr>
        <w:rPr>
          <w:b/>
        </w:rPr>
      </w:pPr>
      <w:r w:rsidRPr="008F708C">
        <w:rPr>
          <w:b/>
        </w:rPr>
        <w:t>Preparation</w:t>
      </w:r>
    </w:p>
    <w:p w:rsidR="009863A7" w:rsidRDefault="009863A7" w:rsidP="009863A7">
      <w:pPr>
        <w:pStyle w:val="BulletedList"/>
      </w:pPr>
      <w:r w:rsidRPr="007B5476">
        <w:t xml:space="preserve">Read and annotate </w:t>
      </w:r>
      <w:r w:rsidR="003829A2">
        <w:t xml:space="preserve">“A Genetics of Justice” and “Remembering </w:t>
      </w:r>
      <w:proofErr w:type="gramStart"/>
      <w:r w:rsidR="003829A2">
        <w:t>To</w:t>
      </w:r>
      <w:proofErr w:type="gramEnd"/>
      <w:r w:rsidR="003829A2">
        <w:t xml:space="preserve"> Never Forget,” including numbering paragraphs.</w:t>
      </w:r>
    </w:p>
    <w:p w:rsidR="003829A2" w:rsidRDefault="003829A2" w:rsidP="009863A7">
      <w:pPr>
        <w:pStyle w:val="BulletedList"/>
      </w:pPr>
      <w:r>
        <w:t>Review the Short Response Rubric</w:t>
      </w:r>
      <w:r w:rsidR="009D375C">
        <w:t xml:space="preserve"> and Checklist</w:t>
      </w:r>
      <w:r>
        <w:t>.</w:t>
      </w:r>
    </w:p>
    <w:p w:rsidR="009863A7" w:rsidRDefault="009863A7" w:rsidP="009863A7">
      <w:pPr>
        <w:pStyle w:val="BulletedList"/>
      </w:pPr>
      <w:r>
        <w:t xml:space="preserve">Review the </w:t>
      </w:r>
      <w:r w:rsidR="004B55CB">
        <w:t>10.2.2</w:t>
      </w:r>
      <w:r w:rsidR="00F80844">
        <w:t xml:space="preserve"> Mid-Unit and End-of-Unit</w:t>
      </w:r>
      <w:r w:rsidR="004B55CB">
        <w:t xml:space="preserve"> </w:t>
      </w:r>
      <w:r>
        <w:t>Text Analysis Rubric</w:t>
      </w:r>
      <w:r w:rsidR="00F80844">
        <w:t>s</w:t>
      </w:r>
      <w:r>
        <w:t>.</w:t>
      </w:r>
    </w:p>
    <w:p w:rsidR="009863A7" w:rsidRDefault="009863A7" w:rsidP="009863A7">
      <w:pPr>
        <w:pStyle w:val="BulletedList"/>
      </w:pPr>
      <w:r>
        <w:t>Review all unit standards and post in classroom.</w:t>
      </w:r>
    </w:p>
    <w:p w:rsidR="009863A7" w:rsidRDefault="009863A7" w:rsidP="009863A7">
      <w:pPr>
        <w:rPr>
          <w:b/>
        </w:rPr>
      </w:pPr>
    </w:p>
    <w:p w:rsidR="009863A7" w:rsidRPr="008F708C" w:rsidRDefault="009863A7" w:rsidP="009863A7">
      <w:pPr>
        <w:rPr>
          <w:b/>
        </w:rPr>
      </w:pPr>
      <w:r w:rsidRPr="008F708C">
        <w:rPr>
          <w:b/>
        </w:rPr>
        <w:t>Materials/Resources</w:t>
      </w:r>
    </w:p>
    <w:p w:rsidR="009863A7" w:rsidRDefault="009863A7" w:rsidP="009863A7">
      <w:pPr>
        <w:pStyle w:val="BulletedList"/>
      </w:pPr>
      <w:r>
        <w:t xml:space="preserve">Copies of </w:t>
      </w:r>
      <w:r w:rsidR="003829A2">
        <w:t>“A Genetics of Justice” and “Remembering To Never Forget”</w:t>
      </w:r>
    </w:p>
    <w:p w:rsidR="009863A7" w:rsidRPr="007B5476" w:rsidRDefault="009863A7" w:rsidP="009863A7">
      <w:pPr>
        <w:pStyle w:val="BulletedList"/>
      </w:pPr>
      <w:r w:rsidRPr="007B5476">
        <w:t>S</w:t>
      </w:r>
      <w:r>
        <w:t>elf-stick</w:t>
      </w:r>
      <w:r w:rsidRPr="007B5476">
        <w:t xml:space="preserve"> notes for students</w:t>
      </w:r>
    </w:p>
    <w:p w:rsidR="009863A7" w:rsidRPr="007B5476" w:rsidRDefault="009863A7" w:rsidP="009863A7">
      <w:pPr>
        <w:pStyle w:val="BulletedList"/>
      </w:pPr>
      <w:r w:rsidRPr="007B5476">
        <w:t>Writing utensils including pencils, pens, markers, and highlighters</w:t>
      </w:r>
    </w:p>
    <w:p w:rsidR="009863A7" w:rsidRPr="007B5476" w:rsidRDefault="009863A7" w:rsidP="009863A7">
      <w:pPr>
        <w:pStyle w:val="BulletedList"/>
      </w:pPr>
      <w:r w:rsidRPr="007B5476">
        <w:t>Methods for collecting student work: student notebooks</w:t>
      </w:r>
      <w:r>
        <w:t>,</w:t>
      </w:r>
      <w:r w:rsidRPr="007B5476">
        <w:t xml:space="preserve"> folders</w:t>
      </w:r>
      <w:r>
        <w:t>, etc.</w:t>
      </w:r>
    </w:p>
    <w:p w:rsidR="009863A7" w:rsidRPr="007B5476" w:rsidRDefault="009863A7" w:rsidP="009863A7">
      <w:pPr>
        <w:pStyle w:val="BulletedList"/>
      </w:pPr>
      <w:r w:rsidRPr="007B5476">
        <w:t>Access to technology (if possible): interactive whiteboard, document camera, and LCD projector</w:t>
      </w:r>
    </w:p>
    <w:p w:rsidR="009863A7" w:rsidRPr="007B5476" w:rsidRDefault="009863A7" w:rsidP="009863A7">
      <w:pPr>
        <w:pStyle w:val="BulletedList"/>
      </w:pPr>
      <w:r w:rsidRPr="007B5476">
        <w:t>Copies of handouts</w:t>
      </w:r>
      <w:r>
        <w:t xml:space="preserve"> and tools</w:t>
      </w:r>
      <w:r w:rsidRPr="007B5476">
        <w:t xml:space="preserve"> for each student: see </w:t>
      </w:r>
      <w:r w:rsidR="009D375C">
        <w:t>M</w:t>
      </w:r>
      <w:r>
        <w:t xml:space="preserve">aterials list in </w:t>
      </w:r>
      <w:r w:rsidRPr="007B5476">
        <w:t>individual lesson plans</w:t>
      </w:r>
    </w:p>
    <w:p w:rsidR="009863A7" w:rsidRDefault="009863A7" w:rsidP="009863A7">
      <w:pPr>
        <w:pStyle w:val="BulletedList"/>
      </w:pPr>
      <w:r w:rsidRPr="007B5476">
        <w:t xml:space="preserve">Copies of the </w:t>
      </w:r>
      <w:r w:rsidR="004B55CB">
        <w:t>10.2.2</w:t>
      </w:r>
      <w:r w:rsidR="00F80844">
        <w:t xml:space="preserve"> Mid-Unit and End-of-Unit</w:t>
      </w:r>
      <w:r w:rsidR="004B55CB">
        <w:t xml:space="preserve"> </w:t>
      </w:r>
      <w:r w:rsidRPr="007B5476">
        <w:t>Text Analysis Rubric</w:t>
      </w:r>
      <w:r w:rsidR="00F80844">
        <w:t>s</w:t>
      </w:r>
    </w:p>
    <w:p w:rsidR="009863A7" w:rsidRDefault="009863A7" w:rsidP="009863A7">
      <w:pPr>
        <w:pStyle w:val="BulletedList"/>
      </w:pPr>
      <w:r>
        <w:t>Copies of the Short Response Rubric</w:t>
      </w:r>
      <w:r w:rsidR="00CB399A">
        <w:t xml:space="preserve"> and Checklist</w:t>
      </w:r>
    </w:p>
    <w:p w:rsidR="009863A7" w:rsidRPr="00264EB8" w:rsidRDefault="009863A7" w:rsidP="009863A7">
      <w:pPr>
        <w:pStyle w:val="BulletedList"/>
        <w:ind w:left="317" w:hanging="317"/>
      </w:pPr>
      <w:r>
        <w:t>Copies of</w:t>
      </w:r>
      <w:r w:rsidR="00764F0A">
        <w:t xml:space="preserve"> the</w:t>
      </w:r>
      <w:r>
        <w:t xml:space="preserve"> </w:t>
      </w:r>
      <w:r w:rsidR="003829A2">
        <w:t>10.2</w:t>
      </w:r>
      <w:r>
        <w:t xml:space="preserve"> Common Core Learning Standards Tool</w:t>
      </w:r>
    </w:p>
    <w:sectPr w:rsidR="009863A7" w:rsidRPr="00264EB8" w:rsidSect="009863A7">
      <w:headerReference w:type="default" r:id="rId8"/>
      <w:footerReference w:type="default" r:id="rId9"/>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A8" w:rsidRDefault="00C205A8">
      <w:pPr>
        <w:spacing w:before="0" w:after="0" w:line="240" w:lineRule="auto"/>
      </w:pPr>
      <w:r>
        <w:separator/>
      </w:r>
    </w:p>
  </w:endnote>
  <w:endnote w:type="continuationSeparator" w:id="0">
    <w:p w:rsidR="00C205A8" w:rsidRDefault="00C205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AC" w:rsidRPr="00563CB8" w:rsidRDefault="006F3EAC" w:rsidP="009863A7">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F3EAC" w:rsidTr="009863A7">
      <w:trPr>
        <w:trHeight w:val="705"/>
      </w:trPr>
      <w:tc>
        <w:tcPr>
          <w:tcW w:w="4609" w:type="dxa"/>
          <w:shd w:val="clear" w:color="auto" w:fill="auto"/>
          <w:vAlign w:val="center"/>
        </w:tcPr>
        <w:p w:rsidR="006F3EAC" w:rsidRPr="002E4C92" w:rsidRDefault="006F3EAC" w:rsidP="009863A7">
          <w:pPr>
            <w:pStyle w:val="FooterText"/>
          </w:pPr>
          <w:r w:rsidRPr="002E4C92">
            <w:t xml:space="preserve">File: </w:t>
          </w:r>
          <w:r w:rsidR="001E0A16">
            <w:rPr>
              <w:b w:val="0"/>
            </w:rPr>
            <w:t>10.2.2</w:t>
          </w:r>
          <w:r w:rsidRPr="006F3982">
            <w:rPr>
              <w:b w:val="0"/>
            </w:rPr>
            <w:t xml:space="preserve"> Overview </w:t>
          </w:r>
          <w:r w:rsidRPr="002E4C92">
            <w:t xml:space="preserve">Date: </w:t>
          </w:r>
          <w:r w:rsidR="001E0A16">
            <w:rPr>
              <w:b w:val="0"/>
            </w:rPr>
            <w:t>4</w:t>
          </w:r>
          <w:r w:rsidRPr="006F3982">
            <w:rPr>
              <w:b w:val="0"/>
            </w:rPr>
            <w:t>/</w:t>
          </w:r>
          <w:r w:rsidR="001E0A16">
            <w:rPr>
              <w:b w:val="0"/>
            </w:rPr>
            <w:t>18</w:t>
          </w:r>
          <w:r w:rsidRPr="006F3982">
            <w:rPr>
              <w:b w:val="0"/>
            </w:rPr>
            <w:t>/1</w:t>
          </w:r>
          <w:r w:rsidR="001E0A16">
            <w:rPr>
              <w:b w:val="0"/>
            </w:rPr>
            <w:t>4</w:t>
          </w:r>
          <w:r w:rsidRPr="002E4C92">
            <w:t xml:space="preserve"> Classroom Use:</w:t>
          </w:r>
          <w:r>
            <w:t xml:space="preserve"> </w:t>
          </w:r>
          <w:r w:rsidR="001E0A16">
            <w:rPr>
              <w:b w:val="0"/>
            </w:rPr>
            <w:t>Starting 4/2014</w:t>
          </w:r>
          <w:r w:rsidRPr="002E4C92">
            <w:t xml:space="preserve"> </w:t>
          </w:r>
        </w:p>
        <w:p w:rsidR="006F3EAC" w:rsidRPr="00440948" w:rsidRDefault="006F3EAC" w:rsidP="009863A7">
          <w:pPr>
            <w:pStyle w:val="FooterText"/>
            <w:rPr>
              <w:i/>
              <w:sz w:val="12"/>
            </w:rPr>
          </w:pPr>
          <w:r w:rsidRPr="00440948">
            <w:rPr>
              <w:sz w:val="12"/>
            </w:rPr>
            <w:t xml:space="preserve">© 2013 Public Consulting Group. </w:t>
          </w:r>
          <w:r w:rsidRPr="00440948">
            <w:rPr>
              <w:i/>
              <w:sz w:val="12"/>
            </w:rPr>
            <w:t xml:space="preserve">This work is licensed under a </w:t>
          </w:r>
        </w:p>
        <w:p w:rsidR="006F3EAC" w:rsidRDefault="006F3EAC" w:rsidP="009863A7">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rsidR="006F3EAC" w:rsidRPr="002E4C92" w:rsidRDefault="00F95B84" w:rsidP="009863A7">
          <w:pPr>
            <w:pStyle w:val="FooterText"/>
          </w:pPr>
          <w:hyperlink r:id="rId1" w:history="1">
            <w:r w:rsidR="006F3EA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F3EAC" w:rsidRPr="002E4C92" w:rsidRDefault="00F95B84" w:rsidP="009863A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F3EA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74BC9">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6F3EAC" w:rsidRPr="002E4C92" w:rsidRDefault="006F3EAC" w:rsidP="009863A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F3EAC" w:rsidRPr="00677A89" w:rsidRDefault="006F3EAC" w:rsidP="00986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A8" w:rsidRDefault="00C205A8">
      <w:pPr>
        <w:spacing w:before="0" w:after="0" w:line="240" w:lineRule="auto"/>
      </w:pPr>
      <w:r>
        <w:separator/>
      </w:r>
    </w:p>
  </w:footnote>
  <w:footnote w:type="continuationSeparator" w:id="0">
    <w:p w:rsidR="00C205A8" w:rsidRDefault="00C205A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430"/>
      <w:gridCol w:w="3438"/>
    </w:tblGrid>
    <w:tr w:rsidR="006F3EAC">
      <w:tc>
        <w:tcPr>
          <w:tcW w:w="3708" w:type="dxa"/>
        </w:tcPr>
        <w:p w:rsidR="006F3EAC" w:rsidRDefault="006F3EAC" w:rsidP="009863A7">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rsidR="006F3EAC" w:rsidRDefault="006F3EAC" w:rsidP="009863A7">
          <w:pPr>
            <w:pStyle w:val="BodyText"/>
            <w:tabs>
              <w:tab w:val="center" w:pos="4770"/>
              <w:tab w:val="left" w:pos="4980"/>
              <w:tab w:val="right" w:pos="9450"/>
              <w:tab w:val="left" w:pos="11070"/>
            </w:tabs>
            <w:spacing w:before="180"/>
            <w:jc w:val="center"/>
            <w:rPr>
              <w:b/>
              <w:color w:val="244061"/>
              <w:sz w:val="18"/>
            </w:rPr>
          </w:pPr>
          <w:r w:rsidRPr="00EC15E4">
            <w:rPr>
              <w:color w:val="244061"/>
              <w:sz w:val="28"/>
            </w:rPr>
            <w:t>D R A F T</w:t>
          </w:r>
        </w:p>
      </w:tc>
      <w:tc>
        <w:tcPr>
          <w:tcW w:w="3438" w:type="dxa"/>
        </w:tcPr>
        <w:p w:rsidR="006F3EAC" w:rsidRDefault="006F3EAC" w:rsidP="009863A7">
          <w:pPr>
            <w:pStyle w:val="BodyText"/>
            <w:tabs>
              <w:tab w:val="center" w:pos="4770"/>
              <w:tab w:val="left" w:pos="4980"/>
              <w:tab w:val="right" w:pos="9450"/>
              <w:tab w:val="left" w:pos="11070"/>
            </w:tabs>
            <w:spacing w:before="180"/>
            <w:jc w:val="right"/>
            <w:rPr>
              <w:b/>
              <w:color w:val="244061"/>
              <w:sz w:val="18"/>
            </w:rPr>
          </w:pPr>
          <w:r>
            <w:rPr>
              <w:color w:val="244061"/>
              <w:sz w:val="18"/>
            </w:rPr>
            <w:t>Grade 10 • Module 2 • Unit 2 Overview</w:t>
          </w:r>
        </w:p>
      </w:tc>
    </w:tr>
  </w:tbl>
  <w:p w:rsidR="006F3EAC" w:rsidRDefault="006F3EAC" w:rsidP="009863A7">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F16"/>
    <w:multiLevelType w:val="hybridMultilevel"/>
    <w:tmpl w:val="F26E176C"/>
    <w:lvl w:ilvl="0" w:tplc="FF1C6D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F3734"/>
    <w:multiLevelType w:val="hybridMultilevel"/>
    <w:tmpl w:val="80C22788"/>
    <w:lvl w:ilvl="0" w:tplc="34AE52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7868"/>
    <w:multiLevelType w:val="hybridMultilevel"/>
    <w:tmpl w:val="53042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E5B43"/>
    <w:multiLevelType w:val="multilevel"/>
    <w:tmpl w:val="E5E8948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166C64"/>
    <w:multiLevelType w:val="hybridMultilevel"/>
    <w:tmpl w:val="75FCD1B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D7AD5"/>
    <w:multiLevelType w:val="hybridMultilevel"/>
    <w:tmpl w:val="3836FBF4"/>
    <w:lvl w:ilvl="0" w:tplc="77B270CE">
      <w:start w:val="1"/>
      <w:numFmt w:val="lowerLetter"/>
      <w:pStyle w:val="SubStandar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204C4"/>
    <w:multiLevelType w:val="hybridMultilevel"/>
    <w:tmpl w:val="4E903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27A0F"/>
    <w:multiLevelType w:val="hybridMultilevel"/>
    <w:tmpl w:val="DE08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320A7"/>
    <w:multiLevelType w:val="hybridMultilevel"/>
    <w:tmpl w:val="C3F87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644FF6"/>
    <w:multiLevelType w:val="hybridMultilevel"/>
    <w:tmpl w:val="2B40C4B4"/>
    <w:lvl w:ilvl="0" w:tplc="1D2C889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5F936029"/>
    <w:multiLevelType w:val="hybridMultilevel"/>
    <w:tmpl w:val="89C6E04A"/>
    <w:lvl w:ilvl="0" w:tplc="77B27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A1393"/>
    <w:multiLevelType w:val="hybridMultilevel"/>
    <w:tmpl w:val="B7EE9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E0C46"/>
    <w:multiLevelType w:val="hybridMultilevel"/>
    <w:tmpl w:val="CF740EB4"/>
    <w:lvl w:ilvl="0" w:tplc="000C3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D3B4A"/>
    <w:multiLevelType w:val="hybridMultilevel"/>
    <w:tmpl w:val="33165160"/>
    <w:lvl w:ilvl="0" w:tplc="5CD2542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5003B"/>
    <w:multiLevelType w:val="multilevel"/>
    <w:tmpl w:val="25B4E5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884849"/>
    <w:multiLevelType w:val="hybridMultilevel"/>
    <w:tmpl w:val="3EC47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46AB6"/>
    <w:multiLevelType w:val="multilevel"/>
    <w:tmpl w:val="237A57E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A6834DD"/>
    <w:multiLevelType w:val="hybridMultilevel"/>
    <w:tmpl w:val="8422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87F63"/>
    <w:multiLevelType w:val="multilevel"/>
    <w:tmpl w:val="9D5AF76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15"/>
  </w:num>
  <w:num w:numId="4">
    <w:abstractNumId w:val="11"/>
  </w:num>
  <w:num w:numId="5">
    <w:abstractNumId w:val="5"/>
  </w:num>
  <w:num w:numId="6">
    <w:abstractNumId w:val="7"/>
  </w:num>
  <w:num w:numId="7">
    <w:abstractNumId w:val="17"/>
  </w:num>
  <w:num w:numId="8">
    <w:abstractNumId w:val="2"/>
  </w:num>
  <w:num w:numId="9">
    <w:abstractNumId w:val="19"/>
  </w:num>
  <w:num w:numId="10">
    <w:abstractNumId w:val="8"/>
  </w:num>
  <w:num w:numId="11">
    <w:abstractNumId w:val="14"/>
  </w:num>
  <w:num w:numId="12">
    <w:abstractNumId w:val="16"/>
  </w:num>
  <w:num w:numId="13">
    <w:abstractNumId w:val="1"/>
  </w:num>
  <w:num w:numId="14">
    <w:abstractNumId w:val="18"/>
  </w:num>
  <w:num w:numId="15">
    <w:abstractNumId w:val="0"/>
  </w:num>
  <w:num w:numId="16">
    <w:abstractNumId w:val="3"/>
  </w:num>
  <w:num w:numId="17">
    <w:abstractNumId w:val="12"/>
  </w:num>
  <w:num w:numId="18">
    <w:abstractNumId w:val="20"/>
  </w:num>
  <w:num w:numId="19">
    <w:abstractNumId w:val="6"/>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9863A7"/>
    <w:rsid w:val="00017AE0"/>
    <w:rsid w:val="000363EB"/>
    <w:rsid w:val="000F61AB"/>
    <w:rsid w:val="00116FC5"/>
    <w:rsid w:val="001813C1"/>
    <w:rsid w:val="001E0A16"/>
    <w:rsid w:val="00264EB8"/>
    <w:rsid w:val="003829A2"/>
    <w:rsid w:val="003C1261"/>
    <w:rsid w:val="003D4806"/>
    <w:rsid w:val="004211E9"/>
    <w:rsid w:val="0043577D"/>
    <w:rsid w:val="00461E19"/>
    <w:rsid w:val="004B55CB"/>
    <w:rsid w:val="004D7FA9"/>
    <w:rsid w:val="004E41C0"/>
    <w:rsid w:val="004F1BD3"/>
    <w:rsid w:val="005600B7"/>
    <w:rsid w:val="00567127"/>
    <w:rsid w:val="00594CAA"/>
    <w:rsid w:val="005A5217"/>
    <w:rsid w:val="005B1F62"/>
    <w:rsid w:val="005B6EE5"/>
    <w:rsid w:val="005C6D25"/>
    <w:rsid w:val="006F3EAC"/>
    <w:rsid w:val="00703B2E"/>
    <w:rsid w:val="007258F0"/>
    <w:rsid w:val="00732D86"/>
    <w:rsid w:val="0074030E"/>
    <w:rsid w:val="007508BF"/>
    <w:rsid w:val="007509DA"/>
    <w:rsid w:val="00753906"/>
    <w:rsid w:val="00764F0A"/>
    <w:rsid w:val="008173D1"/>
    <w:rsid w:val="00856E80"/>
    <w:rsid w:val="008678E7"/>
    <w:rsid w:val="00885633"/>
    <w:rsid w:val="008D0D94"/>
    <w:rsid w:val="008E1F27"/>
    <w:rsid w:val="009863A7"/>
    <w:rsid w:val="009D375C"/>
    <w:rsid w:val="009F63AD"/>
    <w:rsid w:val="009F67BD"/>
    <w:rsid w:val="00A01D73"/>
    <w:rsid w:val="00A066EB"/>
    <w:rsid w:val="00A320EF"/>
    <w:rsid w:val="00A4639E"/>
    <w:rsid w:val="00A75AE1"/>
    <w:rsid w:val="00A77D4C"/>
    <w:rsid w:val="00AC3928"/>
    <w:rsid w:val="00B06B0C"/>
    <w:rsid w:val="00B15A55"/>
    <w:rsid w:val="00BC715E"/>
    <w:rsid w:val="00BF7A7C"/>
    <w:rsid w:val="00C205A8"/>
    <w:rsid w:val="00CB399A"/>
    <w:rsid w:val="00CC431D"/>
    <w:rsid w:val="00D27A3B"/>
    <w:rsid w:val="00D63B08"/>
    <w:rsid w:val="00DE4A54"/>
    <w:rsid w:val="00E15BCF"/>
    <w:rsid w:val="00E2707E"/>
    <w:rsid w:val="00E34F80"/>
    <w:rsid w:val="00E74BC9"/>
    <w:rsid w:val="00EC6F81"/>
    <w:rsid w:val="00EF00D1"/>
    <w:rsid w:val="00F80844"/>
    <w:rsid w:val="00F95B84"/>
    <w:rsid w:val="00FC0585"/>
    <w:rsid w:val="00FC39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9863A7"/>
    <w:pPr>
      <w:spacing w:before="60" w:after="60" w:line="276" w:lineRule="auto"/>
    </w:pPr>
    <w:rPr>
      <w:rFonts w:ascii="Calibri" w:eastAsia="Calibri" w:hAnsi="Calibri" w:cs="Times New Roman"/>
      <w:sz w:val="22"/>
      <w:szCs w:val="22"/>
      <w:lang w:eastAsia="en-US"/>
    </w:rPr>
  </w:style>
  <w:style w:type="paragraph" w:styleId="Heading1">
    <w:name w:val="heading 1"/>
    <w:basedOn w:val="Normal1"/>
    <w:next w:val="Normal1"/>
    <w:link w:val="Heading1Char"/>
    <w:rsid w:val="009863A7"/>
    <w:pPr>
      <w:spacing w:before="480" w:after="120"/>
      <w:outlineLvl w:val="0"/>
    </w:pPr>
    <w:rPr>
      <w:rFonts w:asciiTheme="minorHAnsi" w:eastAsia="Cambria" w:hAnsiTheme="minorHAnsi" w:cs="Cambria"/>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3A7"/>
    <w:rPr>
      <w:rFonts w:eastAsia="Cambria" w:cs="Cambria"/>
      <w:b/>
      <w:color w:val="365F91"/>
      <w:sz w:val="28"/>
      <w:szCs w:val="24"/>
    </w:rPr>
  </w:style>
  <w:style w:type="paragraph" w:customStyle="1" w:styleId="Normal1">
    <w:name w:val="Normal1"/>
    <w:rsid w:val="009863A7"/>
    <w:pPr>
      <w:spacing w:after="0"/>
    </w:pPr>
    <w:rPr>
      <w:rFonts w:ascii="Calibri" w:eastAsia="Calibri" w:hAnsi="Calibri" w:cs="Calibri"/>
      <w:color w:val="000000"/>
      <w:sz w:val="22"/>
      <w:szCs w:val="24"/>
    </w:rPr>
  </w:style>
  <w:style w:type="paragraph" w:styleId="Header">
    <w:name w:val="header"/>
    <w:basedOn w:val="Normal"/>
    <w:link w:val="HeaderChar"/>
    <w:uiPriority w:val="99"/>
    <w:unhideWhenUsed/>
    <w:rsid w:val="009863A7"/>
    <w:pPr>
      <w:tabs>
        <w:tab w:val="center" w:pos="4680"/>
        <w:tab w:val="right" w:pos="9360"/>
      </w:tabs>
    </w:pPr>
  </w:style>
  <w:style w:type="character" w:customStyle="1" w:styleId="HeaderChar">
    <w:name w:val="Header Char"/>
    <w:basedOn w:val="DefaultParagraphFont"/>
    <w:link w:val="Header"/>
    <w:uiPriority w:val="99"/>
    <w:rsid w:val="009863A7"/>
    <w:rPr>
      <w:rFonts w:ascii="Calibri" w:eastAsia="Calibri" w:hAnsi="Calibri" w:cs="Times New Roman"/>
      <w:sz w:val="22"/>
      <w:szCs w:val="22"/>
      <w:lang w:eastAsia="en-US"/>
    </w:rPr>
  </w:style>
  <w:style w:type="paragraph" w:styleId="Footer">
    <w:name w:val="footer"/>
    <w:basedOn w:val="Normal"/>
    <w:link w:val="FooterChar"/>
    <w:uiPriority w:val="99"/>
    <w:unhideWhenUsed/>
    <w:rsid w:val="009863A7"/>
    <w:pPr>
      <w:tabs>
        <w:tab w:val="center" w:pos="4680"/>
        <w:tab w:val="right" w:pos="9360"/>
      </w:tabs>
    </w:pPr>
  </w:style>
  <w:style w:type="character" w:customStyle="1" w:styleId="FooterChar">
    <w:name w:val="Footer Char"/>
    <w:basedOn w:val="DefaultParagraphFont"/>
    <w:link w:val="Footer"/>
    <w:uiPriority w:val="99"/>
    <w:rsid w:val="009863A7"/>
    <w:rPr>
      <w:rFonts w:ascii="Calibri" w:eastAsia="Calibri" w:hAnsi="Calibri" w:cs="Times New Roman"/>
      <w:sz w:val="22"/>
      <w:szCs w:val="22"/>
      <w:lang w:eastAsia="en-US"/>
    </w:rPr>
  </w:style>
  <w:style w:type="table" w:styleId="TableGrid">
    <w:name w:val="Table Grid"/>
    <w:basedOn w:val="TableNormal"/>
    <w:uiPriority w:val="59"/>
    <w:rsid w:val="009863A7"/>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863A7"/>
    <w:pPr>
      <w:spacing w:after="120"/>
    </w:pPr>
    <w:rPr>
      <w:rFonts w:cs="Calibri"/>
    </w:rPr>
  </w:style>
  <w:style w:type="character" w:customStyle="1" w:styleId="BodyTextChar">
    <w:name w:val="Body Text Char"/>
    <w:basedOn w:val="DefaultParagraphFont"/>
    <w:link w:val="BodyText"/>
    <w:rsid w:val="009863A7"/>
    <w:rPr>
      <w:rFonts w:ascii="Calibri" w:eastAsia="Calibri" w:hAnsi="Calibri" w:cs="Calibri"/>
      <w:sz w:val="22"/>
      <w:szCs w:val="22"/>
      <w:lang w:eastAsia="en-US"/>
    </w:rPr>
  </w:style>
  <w:style w:type="paragraph" w:customStyle="1" w:styleId="Header-banner">
    <w:name w:val="Header-banner"/>
    <w:qFormat/>
    <w:rsid w:val="009863A7"/>
    <w:pPr>
      <w:spacing w:after="0"/>
      <w:ind w:left="43" w:right="43"/>
      <w:jc w:val="center"/>
    </w:pPr>
    <w:rPr>
      <w:rFonts w:asciiTheme="majorHAnsi" w:eastAsia="Calibri" w:hAnsiTheme="majorHAnsi" w:cs="Calibri"/>
      <w:b/>
      <w:bCs/>
      <w:caps/>
      <w:color w:val="FFFFFF" w:themeColor="background1"/>
      <w:sz w:val="44"/>
      <w:szCs w:val="22"/>
      <w:lang w:eastAsia="en-US"/>
    </w:rPr>
  </w:style>
  <w:style w:type="paragraph" w:customStyle="1" w:styleId="Header2banner">
    <w:name w:val="Header2_banner"/>
    <w:basedOn w:val="Header-banner"/>
    <w:qFormat/>
    <w:rsid w:val="009863A7"/>
    <w:pPr>
      <w:spacing w:line="440" w:lineRule="exact"/>
      <w:jc w:val="left"/>
    </w:pPr>
    <w:rPr>
      <w:caps w:val="0"/>
    </w:rPr>
  </w:style>
  <w:style w:type="paragraph" w:customStyle="1" w:styleId="Heading1nospace">
    <w:name w:val="Heading 1 no space"/>
    <w:basedOn w:val="Heading1"/>
    <w:qFormat/>
    <w:rsid w:val="009863A7"/>
    <w:pPr>
      <w:keepNext/>
      <w:spacing w:before="0" w:line="460" w:lineRule="exact"/>
      <w:jc w:val="center"/>
    </w:pPr>
    <w:rPr>
      <w:bCs/>
      <w:color w:val="244061" w:themeColor="accent1" w:themeShade="80"/>
      <w:sz w:val="40"/>
      <w:szCs w:val="36"/>
      <w:lang w:eastAsia="en-US"/>
    </w:rPr>
  </w:style>
  <w:style w:type="character" w:styleId="Hyperlink">
    <w:name w:val="Hyperlink"/>
    <w:uiPriority w:val="99"/>
    <w:unhideWhenUsed/>
    <w:rsid w:val="009863A7"/>
    <w:rPr>
      <w:color w:val="0000FF"/>
      <w:u w:val="single"/>
    </w:rPr>
  </w:style>
  <w:style w:type="paragraph" w:customStyle="1" w:styleId="folio">
    <w:name w:val="folio"/>
    <w:basedOn w:val="Normal"/>
    <w:link w:val="folioChar"/>
    <w:qFormat/>
    <w:rsid w:val="009863A7"/>
    <w:pPr>
      <w:pBdr>
        <w:top w:val="single" w:sz="8" w:space="4" w:color="244061"/>
      </w:pBdr>
      <w:tabs>
        <w:tab w:val="center" w:pos="6480"/>
        <w:tab w:val="right" w:pos="10080"/>
      </w:tabs>
    </w:pPr>
    <w:rPr>
      <w:rFonts w:ascii="Verdana" w:eastAsia="Verdana" w:hAnsi="Verdana" w:cs="Verdana"/>
      <w:color w:val="595959"/>
      <w:sz w:val="16"/>
      <w:szCs w:val="20"/>
    </w:rPr>
  </w:style>
  <w:style w:type="character" w:styleId="CommentReference">
    <w:name w:val="annotation reference"/>
    <w:basedOn w:val="DefaultParagraphFont"/>
    <w:uiPriority w:val="99"/>
    <w:semiHidden/>
    <w:unhideWhenUsed/>
    <w:rsid w:val="009863A7"/>
    <w:rPr>
      <w:sz w:val="18"/>
      <w:szCs w:val="18"/>
    </w:rPr>
  </w:style>
  <w:style w:type="paragraph" w:styleId="CommentText">
    <w:name w:val="annotation text"/>
    <w:basedOn w:val="Normal"/>
    <w:link w:val="CommentTextChar"/>
    <w:uiPriority w:val="99"/>
    <w:unhideWhenUsed/>
    <w:rsid w:val="009863A7"/>
  </w:style>
  <w:style w:type="character" w:customStyle="1" w:styleId="CommentTextChar">
    <w:name w:val="Comment Text Char"/>
    <w:basedOn w:val="DefaultParagraphFont"/>
    <w:link w:val="CommentText"/>
    <w:uiPriority w:val="99"/>
    <w:rsid w:val="009863A7"/>
    <w:rPr>
      <w:rFonts w:ascii="Calibri" w:eastAsia="Calibri" w:hAnsi="Calibri" w:cs="Times New Roman"/>
      <w:sz w:val="22"/>
      <w:szCs w:val="22"/>
      <w:lang w:eastAsia="en-US"/>
    </w:rPr>
  </w:style>
  <w:style w:type="paragraph" w:customStyle="1" w:styleId="BulletedList">
    <w:name w:val="*Bulleted List"/>
    <w:link w:val="BulletedListChar"/>
    <w:qFormat/>
    <w:rsid w:val="009863A7"/>
    <w:pPr>
      <w:numPr>
        <w:numId w:val="1"/>
      </w:num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9863A7"/>
    <w:pPr>
      <w:spacing w:after="0" w:line="200" w:lineRule="exact"/>
    </w:pPr>
    <w:rPr>
      <w:rFonts w:ascii="Calibri" w:eastAsia="Verdana" w:hAnsi="Calibri" w:cs="Calibri"/>
      <w:b/>
      <w:color w:val="595959"/>
      <w:sz w:val="14"/>
      <w:szCs w:val="22"/>
      <w:lang w:eastAsia="en-US"/>
    </w:rPr>
  </w:style>
  <w:style w:type="paragraph" w:customStyle="1" w:styleId="TableHeaders">
    <w:name w:val="*TableHeaders"/>
    <w:basedOn w:val="Normal"/>
    <w:qFormat/>
    <w:rsid w:val="009863A7"/>
    <w:pPr>
      <w:spacing w:before="40" w:after="40" w:line="240" w:lineRule="auto"/>
    </w:pPr>
    <w:rPr>
      <w:b/>
      <w:color w:val="FFFFFF" w:themeColor="background1"/>
    </w:rPr>
  </w:style>
  <w:style w:type="character" w:customStyle="1" w:styleId="folioChar">
    <w:name w:val="folio Char"/>
    <w:basedOn w:val="DefaultParagraphFont"/>
    <w:link w:val="folio"/>
    <w:rsid w:val="009863A7"/>
    <w:rPr>
      <w:rFonts w:ascii="Verdana" w:eastAsia="Verdana" w:hAnsi="Verdana" w:cs="Verdana"/>
      <w:color w:val="595959"/>
      <w:sz w:val="16"/>
      <w:lang w:eastAsia="en-US"/>
    </w:rPr>
  </w:style>
  <w:style w:type="character" w:customStyle="1" w:styleId="FooterTextChar">
    <w:name w:val="FooterText Char"/>
    <w:basedOn w:val="folioChar"/>
    <w:link w:val="FooterText"/>
    <w:rsid w:val="009863A7"/>
    <w:rPr>
      <w:rFonts w:ascii="Calibri" w:eastAsia="Verdana" w:hAnsi="Calibri" w:cs="Calibri"/>
      <w:b/>
      <w:color w:val="595959"/>
      <w:sz w:val="14"/>
      <w:szCs w:val="22"/>
      <w:lang w:eastAsia="en-US"/>
    </w:rPr>
  </w:style>
  <w:style w:type="paragraph" w:customStyle="1" w:styleId="Normal2">
    <w:name w:val="Normal2"/>
    <w:rsid w:val="009863A7"/>
    <w:pPr>
      <w:spacing w:after="0"/>
      <w:contextualSpacing/>
    </w:pPr>
    <w:rPr>
      <w:rFonts w:ascii="Calibri" w:eastAsia="Calibri" w:hAnsi="Calibri" w:cs="Calibri"/>
      <w:color w:val="000000"/>
      <w:sz w:val="22"/>
      <w:szCs w:val="24"/>
      <w:lang w:eastAsia="fr-FR"/>
    </w:rPr>
  </w:style>
  <w:style w:type="paragraph" w:styleId="ListParagraph">
    <w:name w:val="List Paragraph"/>
    <w:basedOn w:val="Normal"/>
    <w:uiPriority w:val="34"/>
    <w:qFormat/>
    <w:rsid w:val="009863A7"/>
    <w:pPr>
      <w:ind w:left="720"/>
      <w:contextualSpacing/>
    </w:pPr>
  </w:style>
  <w:style w:type="paragraph" w:customStyle="1" w:styleId="Normal3">
    <w:name w:val="Normal3"/>
    <w:rsid w:val="009863A7"/>
    <w:pPr>
      <w:spacing w:after="0"/>
    </w:pPr>
    <w:rPr>
      <w:rFonts w:ascii="Cambria" w:eastAsia="Cambria" w:hAnsi="Cambria" w:cs="Cambria"/>
      <w:color w:val="000000"/>
      <w:sz w:val="24"/>
      <w:szCs w:val="22"/>
      <w:lang w:eastAsia="en-US"/>
    </w:rPr>
  </w:style>
  <w:style w:type="character" w:customStyle="1" w:styleId="BulletedListChar">
    <w:name w:val="*Bulleted List Char"/>
    <w:basedOn w:val="DefaultParagraphFont"/>
    <w:link w:val="BulletedList"/>
    <w:locked/>
    <w:rsid w:val="009863A7"/>
    <w:rPr>
      <w:rFonts w:ascii="Calibri" w:eastAsia="Calibri" w:hAnsi="Calibri" w:cs="Times New Roman"/>
      <w:sz w:val="22"/>
      <w:szCs w:val="22"/>
      <w:lang w:eastAsia="en-US"/>
    </w:rPr>
  </w:style>
  <w:style w:type="paragraph" w:customStyle="1" w:styleId="TableText">
    <w:name w:val="*TableText"/>
    <w:link w:val="TableTextChar"/>
    <w:qFormat/>
    <w:rsid w:val="009863A7"/>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9863A7"/>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9863A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3A7"/>
    <w:rPr>
      <w:rFonts w:ascii="Lucida Grande" w:eastAsia="Calibri" w:hAnsi="Lucida Grande" w:cs="Lucida Grande"/>
      <w:sz w:val="18"/>
      <w:szCs w:val="18"/>
      <w:lang w:eastAsia="en-US"/>
    </w:rPr>
  </w:style>
  <w:style w:type="paragraph" w:customStyle="1" w:styleId="TableBullet">
    <w:name w:val="Table Bullet"/>
    <w:basedOn w:val="Normal"/>
    <w:link w:val="TableBulletChar"/>
    <w:uiPriority w:val="99"/>
    <w:rsid w:val="00FC3907"/>
    <w:pPr>
      <w:numPr>
        <w:numId w:val="5"/>
      </w:numPr>
      <w:spacing w:before="0" w:after="0"/>
    </w:pPr>
    <w:rPr>
      <w:rFonts w:eastAsia="Times New Roman"/>
      <w:szCs w:val="20"/>
    </w:rPr>
  </w:style>
  <w:style w:type="character" w:customStyle="1" w:styleId="TableBulletChar">
    <w:name w:val="Table Bullet Char"/>
    <w:basedOn w:val="DefaultParagraphFont"/>
    <w:link w:val="TableBullet"/>
    <w:uiPriority w:val="99"/>
    <w:locked/>
    <w:rsid w:val="00FC3907"/>
    <w:rPr>
      <w:rFonts w:ascii="Calibri" w:eastAsia="Times New Roman" w:hAnsi="Calibri" w:cs="Times New Roman"/>
      <w:sz w:val="22"/>
      <w:lang w:eastAsia="en-US"/>
    </w:rPr>
  </w:style>
  <w:style w:type="paragraph" w:styleId="CommentSubject">
    <w:name w:val="annotation subject"/>
    <w:basedOn w:val="CommentText"/>
    <w:next w:val="CommentText"/>
    <w:link w:val="CommentSubjectChar"/>
    <w:uiPriority w:val="99"/>
    <w:semiHidden/>
    <w:unhideWhenUsed/>
    <w:rsid w:val="00017AE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17AE0"/>
    <w:rPr>
      <w:rFonts w:ascii="Calibri" w:eastAsia="Calibri" w:hAnsi="Calibri" w:cs="Times New Roman"/>
      <w:b/>
      <w:bCs/>
      <w:sz w:val="22"/>
      <w:szCs w:val="22"/>
      <w:lang w:eastAsia="en-US"/>
    </w:rPr>
  </w:style>
  <w:style w:type="paragraph" w:customStyle="1" w:styleId="SubStandard">
    <w:name w:val="*SubStandard"/>
    <w:basedOn w:val="Normal"/>
    <w:rsid w:val="005C6D25"/>
    <w:pPr>
      <w:numPr>
        <w:numId w:val="19"/>
      </w:numPr>
    </w:pPr>
  </w:style>
  <w:style w:type="paragraph" w:styleId="Revision">
    <w:name w:val="Revision"/>
    <w:hidden/>
    <w:uiPriority w:val="99"/>
    <w:semiHidden/>
    <w:rsid w:val="001E0A16"/>
    <w:pPr>
      <w:spacing w:after="0"/>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414D-3128-421D-A38D-E53B00B7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2014-04-11T16:52:00Z</cp:lastPrinted>
  <dcterms:created xsi:type="dcterms:W3CDTF">2014-04-17T23:24:00Z</dcterms:created>
  <dcterms:modified xsi:type="dcterms:W3CDTF">2014-04-17T23:24:00Z</dcterms:modified>
</cp:coreProperties>
</file>