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108" w:type="dxa"/>
        <w:tblBorders>
          <w:insideH w:val="single" w:sz="18" w:space="0" w:color="FFFFFF"/>
          <w:insideV w:val="single" w:sz="18" w:space="0" w:color="FFFFFF"/>
        </w:tblBorders>
        <w:shd w:val="clear" w:color="1F497D" w:fill="244061"/>
        <w:tblLook w:val="00A0"/>
      </w:tblPr>
      <w:tblGrid>
        <w:gridCol w:w="1980"/>
        <w:gridCol w:w="7470"/>
      </w:tblGrid>
      <w:tr w:rsidR="00F814D5" w:rsidRPr="00DB34C3">
        <w:trPr>
          <w:trHeight w:val="1008"/>
        </w:trPr>
        <w:tc>
          <w:tcPr>
            <w:tcW w:w="1980" w:type="dxa"/>
            <w:shd w:val="clear" w:color="auto" w:fill="385623"/>
            <w:vAlign w:val="center"/>
          </w:tcPr>
          <w:p w:rsidR="00F814D5" w:rsidRPr="00DB34C3" w:rsidRDefault="00DF29E2" w:rsidP="00B231AA">
            <w:pPr>
              <w:pStyle w:val="Header-banner"/>
              <w:rPr>
                <w:rFonts w:asciiTheme="minorHAnsi" w:hAnsiTheme="minorHAnsi"/>
              </w:rPr>
            </w:pPr>
            <w:r>
              <w:rPr>
                <w:rFonts w:asciiTheme="minorHAnsi" w:hAnsiTheme="minorHAnsi"/>
              </w:rPr>
              <w:t>10.2</w:t>
            </w:r>
            <w:r w:rsidR="00F814D5" w:rsidRPr="00DB34C3">
              <w:rPr>
                <w:rFonts w:asciiTheme="minorHAnsi" w:hAnsiTheme="minorHAnsi"/>
              </w:rPr>
              <w:t>.</w:t>
            </w:r>
            <w:r>
              <w:rPr>
                <w:rFonts w:asciiTheme="minorHAnsi" w:hAnsiTheme="minorHAnsi"/>
              </w:rPr>
              <w:t>1</w:t>
            </w:r>
          </w:p>
        </w:tc>
        <w:tc>
          <w:tcPr>
            <w:tcW w:w="7470" w:type="dxa"/>
            <w:shd w:val="clear" w:color="auto" w:fill="76923C"/>
            <w:vAlign w:val="center"/>
          </w:tcPr>
          <w:p w:rsidR="00F814D5" w:rsidRPr="00DB34C3" w:rsidRDefault="00F814D5" w:rsidP="00B231AA">
            <w:pPr>
              <w:pStyle w:val="Header2banner"/>
              <w:spacing w:line="240" w:lineRule="auto"/>
              <w:rPr>
                <w:rFonts w:asciiTheme="minorHAnsi" w:hAnsiTheme="minorHAnsi"/>
              </w:rPr>
            </w:pPr>
            <w:r w:rsidRPr="00DB34C3">
              <w:rPr>
                <w:rFonts w:asciiTheme="minorHAnsi" w:hAnsiTheme="minorHAnsi"/>
              </w:rPr>
              <w:t xml:space="preserve">Lesson </w:t>
            </w:r>
            <w:r w:rsidR="00DF29E2">
              <w:rPr>
                <w:rFonts w:asciiTheme="minorHAnsi" w:hAnsiTheme="minorHAnsi"/>
              </w:rPr>
              <w:t>5</w:t>
            </w:r>
          </w:p>
        </w:tc>
      </w:tr>
    </w:tbl>
    <w:p w:rsidR="005C4572" w:rsidRDefault="00C4787C" w:rsidP="00E946A0">
      <w:pPr>
        <w:pStyle w:val="Heading1"/>
      </w:pPr>
      <w:r w:rsidRPr="00263AF5">
        <w:t>Introduction</w:t>
      </w:r>
    </w:p>
    <w:p w:rsidR="00D465EB" w:rsidRDefault="00064A67" w:rsidP="005C4572">
      <w:r>
        <w:t>In this lesson, students read and analyze paragraphs 10</w:t>
      </w:r>
      <w:r w:rsidR="00241E0F">
        <w:t>–</w:t>
      </w:r>
      <w:r>
        <w:t>11 of Martin Luther King</w:t>
      </w:r>
      <w:r w:rsidR="00241E0F">
        <w:t xml:space="preserve"> Jr.</w:t>
      </w:r>
      <w:r>
        <w:t>’s “Letter from Birmingham Jail” (from “One of the basic points in your statement” to “you can understand our legitimate and unavoidable impatience”)</w:t>
      </w:r>
      <w:r w:rsidR="008B6FF1">
        <w:t>,</w:t>
      </w:r>
      <w:r>
        <w:t xml:space="preserve"> in which King lays out the necessary urgency with which his group approaches their direct, nonviolent action in opposition to segregation. </w:t>
      </w:r>
      <w:r w:rsidR="00524B68">
        <w:t>S</w:t>
      </w:r>
      <w:r w:rsidR="001A2ADF">
        <w:t>tudents analyze these paragraphs to delineate his argument and claims</w:t>
      </w:r>
      <w:r w:rsidR="008B6FF1">
        <w:t>,</w:t>
      </w:r>
      <w:r w:rsidR="001A2ADF">
        <w:t xml:space="preserve"> and assess </w:t>
      </w:r>
      <w:r w:rsidR="008B6FF1">
        <w:t xml:space="preserve">how sufficient </w:t>
      </w:r>
      <w:r w:rsidR="001A2ADF">
        <w:t>his supporting evidence</w:t>
      </w:r>
      <w:r w:rsidR="008B6FF1">
        <w:t xml:space="preserve"> is</w:t>
      </w:r>
      <w:r w:rsidR="001A2ADF">
        <w:t xml:space="preserve">. </w:t>
      </w:r>
      <w:r w:rsidR="00177CD6">
        <w:t>In groups</w:t>
      </w:r>
      <w:r w:rsidR="0014010B">
        <w:t>, s</w:t>
      </w:r>
      <w:r w:rsidR="001A2ADF">
        <w:t xml:space="preserve">tudents engage in a thorough reading and discussion of the text. </w:t>
      </w:r>
    </w:p>
    <w:p w:rsidR="005C4572" w:rsidRPr="005C4572" w:rsidRDefault="001A2ADF" w:rsidP="005C4572">
      <w:r>
        <w:t xml:space="preserve">The lesson ends with a </w:t>
      </w:r>
      <w:r w:rsidR="00D465EB">
        <w:t>Quick Write</w:t>
      </w:r>
      <w:r>
        <w:t xml:space="preserve"> </w:t>
      </w:r>
      <w:r w:rsidR="00D465EB">
        <w:t xml:space="preserve">on </w:t>
      </w:r>
      <w:r>
        <w:t xml:space="preserve">the following prompt: Delineate the argument and </w:t>
      </w:r>
      <w:r w:rsidR="00B149C0">
        <w:t xml:space="preserve">specific </w:t>
      </w:r>
      <w:r>
        <w:t>claims in paragraphs 10</w:t>
      </w:r>
      <w:r w:rsidR="00454C03">
        <w:t>–</w:t>
      </w:r>
      <w:r>
        <w:t xml:space="preserve">11. Assess whether King’s evidence is relevant and sufficient. </w:t>
      </w:r>
      <w:r w:rsidR="00CA5C7B">
        <w:t>For homework, students consult websites to conduct a brief search into Ahmad Shamlu, the author of the text under consideration in the next lesson</w:t>
      </w:r>
      <w:r>
        <w:t>. Additionally,</w:t>
      </w:r>
      <w:r w:rsidR="00DD1CF4">
        <w:t xml:space="preserve"> students</w:t>
      </w:r>
      <w:r>
        <w:t xml:space="preserve"> </w:t>
      </w:r>
      <w:r w:rsidR="00DD1CF4">
        <w:t>reread paragraphs 1</w:t>
      </w:r>
      <w:r w:rsidR="00454C03">
        <w:t>–</w:t>
      </w:r>
      <w:r w:rsidR="00DD1CF4">
        <w:t xml:space="preserve">11 and </w:t>
      </w:r>
      <w:r w:rsidR="002326E5">
        <w:t>use the Idea</w:t>
      </w:r>
      <w:r w:rsidR="000F63EE">
        <w:t>s Tracking</w:t>
      </w:r>
      <w:r w:rsidR="002326E5">
        <w:t xml:space="preserve"> Tool to track central ideas in the text.</w:t>
      </w:r>
    </w:p>
    <w:p w:rsidR="00C4787C" w:rsidRDefault="00C4787C" w:rsidP="00E946A0">
      <w:pPr>
        <w:pStyle w:val="Heading1"/>
      </w:pPr>
      <w:r>
        <w:t xml:space="preserve">Standards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344"/>
        <w:gridCol w:w="8124"/>
      </w:tblGrid>
      <w:tr w:rsidR="00F308FF" w:rsidRPr="002E4C92">
        <w:tc>
          <w:tcPr>
            <w:tcW w:w="9468" w:type="dxa"/>
            <w:gridSpan w:val="2"/>
            <w:shd w:val="clear" w:color="auto" w:fill="76923C"/>
          </w:tcPr>
          <w:p w:rsidR="00F308FF" w:rsidRPr="002E4C92" w:rsidRDefault="00F308FF" w:rsidP="00B00346">
            <w:pPr>
              <w:pStyle w:val="TableHeaders"/>
            </w:pPr>
            <w:r>
              <w:t>Assessed Standard</w:t>
            </w:r>
            <w:r w:rsidR="00583FF7">
              <w:t>(s)</w:t>
            </w:r>
          </w:p>
        </w:tc>
      </w:tr>
      <w:tr w:rsidR="00FB2878" w:rsidRPr="0053542D">
        <w:tc>
          <w:tcPr>
            <w:tcW w:w="1344" w:type="dxa"/>
          </w:tcPr>
          <w:p w:rsidR="00FB2878" w:rsidRDefault="00D305C9" w:rsidP="000B2D56">
            <w:pPr>
              <w:pStyle w:val="TableText"/>
            </w:pPr>
            <w:r>
              <w:t>RI.9-10</w:t>
            </w:r>
            <w:r w:rsidR="003822E1">
              <w:t>.</w:t>
            </w:r>
            <w:r>
              <w:t>8</w:t>
            </w:r>
          </w:p>
        </w:tc>
        <w:tc>
          <w:tcPr>
            <w:tcW w:w="8124" w:type="dxa"/>
          </w:tcPr>
          <w:p w:rsidR="00CF498D" w:rsidRDefault="00D305C9" w:rsidP="00D305C9">
            <w:pPr>
              <w:pStyle w:val="TableText"/>
            </w:pPr>
            <w:r>
              <w:t>Delineate and evaluate the argument and specific claims in a text, assessing whether the reasoning is valid and the evidence is relevant and sufficient; identify false statements and fallacious reasoning.</w:t>
            </w:r>
          </w:p>
        </w:tc>
      </w:tr>
      <w:tr w:rsidR="00F308FF" w:rsidRPr="00CF2582">
        <w:tc>
          <w:tcPr>
            <w:tcW w:w="9468" w:type="dxa"/>
            <w:gridSpan w:val="2"/>
            <w:shd w:val="clear" w:color="auto" w:fill="76923C"/>
          </w:tcPr>
          <w:p w:rsidR="00F308FF" w:rsidRPr="00CF2582" w:rsidRDefault="00F308FF" w:rsidP="00B00346">
            <w:pPr>
              <w:pStyle w:val="TableHeaders"/>
            </w:pPr>
            <w:r w:rsidRPr="00CF2582">
              <w:t>Addressed Standard</w:t>
            </w:r>
            <w:r w:rsidR="00583FF7">
              <w:t>(s)</w:t>
            </w:r>
          </w:p>
        </w:tc>
      </w:tr>
      <w:tr w:rsidR="000D2EDB" w:rsidRPr="0053542D">
        <w:tc>
          <w:tcPr>
            <w:tcW w:w="1344" w:type="dxa"/>
          </w:tcPr>
          <w:p w:rsidR="000D2EDB" w:rsidRDefault="000D2EDB" w:rsidP="000B2D56">
            <w:pPr>
              <w:pStyle w:val="TableText"/>
            </w:pPr>
            <w:r>
              <w:t>RI.9-10.6</w:t>
            </w:r>
          </w:p>
        </w:tc>
        <w:tc>
          <w:tcPr>
            <w:tcW w:w="8124" w:type="dxa"/>
          </w:tcPr>
          <w:p w:rsidR="000D2EDB" w:rsidRDefault="000D2EDB" w:rsidP="000B2D56">
            <w:pPr>
              <w:pStyle w:val="TableText"/>
            </w:pPr>
            <w:r>
              <w:t>Determine an author’s point of view or purpose in a text and analyze how an author uses rhetoric to advance that point of view of purpose.</w:t>
            </w:r>
          </w:p>
        </w:tc>
      </w:tr>
      <w:tr w:rsidR="000745EC" w:rsidRPr="0053542D">
        <w:tc>
          <w:tcPr>
            <w:tcW w:w="1344" w:type="dxa"/>
          </w:tcPr>
          <w:p w:rsidR="000745EC" w:rsidRDefault="000745EC" w:rsidP="000B2D56">
            <w:pPr>
              <w:pStyle w:val="TableText"/>
            </w:pPr>
            <w:r>
              <w:t>L.9-10.4.a</w:t>
            </w:r>
          </w:p>
        </w:tc>
        <w:tc>
          <w:tcPr>
            <w:tcW w:w="8124" w:type="dxa"/>
          </w:tcPr>
          <w:p w:rsidR="000745EC" w:rsidRPr="003E3D5A" w:rsidRDefault="000745EC" w:rsidP="00DE4B8E">
            <w:pPr>
              <w:pStyle w:val="TableText"/>
              <w:rPr>
                <w:rFonts w:ascii="Times" w:hAnsi="Times"/>
              </w:rPr>
            </w:pPr>
            <w:r w:rsidRPr="003E3D5A">
              <w:rPr>
                <w:shd w:val="clear" w:color="auto" w:fill="FFFFFF"/>
              </w:rPr>
              <w:t>Determine or clarify the meaning of unknown and multiple-mea</w:t>
            </w:r>
            <w:r w:rsidR="002C586F">
              <w:rPr>
                <w:shd w:val="clear" w:color="auto" w:fill="FFFFFF"/>
              </w:rPr>
              <w:t xml:space="preserve">ning words and phrases based on </w:t>
            </w:r>
            <w:r w:rsidRPr="003E3D5A">
              <w:rPr>
                <w:i/>
                <w:iCs/>
                <w:shd w:val="clear" w:color="auto" w:fill="FFFFFF"/>
              </w:rPr>
              <w:t>grades 9–10 reading and content</w:t>
            </w:r>
            <w:r w:rsidRPr="003E3D5A">
              <w:rPr>
                <w:shd w:val="clear" w:color="auto" w:fill="FFFFFF"/>
              </w:rPr>
              <w:t>, choosing flexibly from a range of strategies.</w:t>
            </w:r>
          </w:p>
          <w:p w:rsidR="00D81050" w:rsidRDefault="000745EC" w:rsidP="00D81050">
            <w:pPr>
              <w:pStyle w:val="SubStandard"/>
            </w:pPr>
            <w:r w:rsidRPr="000F6267">
              <w:rPr>
                <w:shd w:val="clear" w:color="auto" w:fill="FFFFFF"/>
              </w:rPr>
              <w:t>Use context (e.g., the overall meaning of a sentence, paragraph, or text; a word’s position or function in a sentence) as a clue to the meaning of a word or phrase.</w:t>
            </w:r>
          </w:p>
        </w:tc>
      </w:tr>
    </w:tbl>
    <w:p w:rsidR="002C586F" w:rsidRDefault="002C586F" w:rsidP="002C586F"/>
    <w:p w:rsidR="002C586F" w:rsidRDefault="002C586F">
      <w:pPr>
        <w:spacing w:before="0" w:after="0" w:line="240" w:lineRule="auto"/>
      </w:pPr>
      <w:r>
        <w:br w:type="page"/>
      </w:r>
    </w:p>
    <w:p w:rsidR="00C4787C" w:rsidRDefault="00C4787C" w:rsidP="00E946A0">
      <w:pPr>
        <w:pStyle w:val="Heading1"/>
      </w:pPr>
      <w:r>
        <w:lastRenderedPageBreak/>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8"/>
      </w:tblGrid>
      <w:tr w:rsidR="00263AF5" w:rsidRPr="002E4C92">
        <w:tc>
          <w:tcPr>
            <w:tcW w:w="9478" w:type="dxa"/>
            <w:shd w:val="clear" w:color="auto" w:fill="76923C"/>
          </w:tcPr>
          <w:p w:rsidR="00D920A6" w:rsidRPr="002E4C92" w:rsidRDefault="00D920A6" w:rsidP="00B00346">
            <w:pPr>
              <w:pStyle w:val="TableHeaders"/>
            </w:pPr>
            <w:r w:rsidRPr="002E4C92">
              <w:t>Assessment(s)</w:t>
            </w:r>
          </w:p>
        </w:tc>
      </w:tr>
      <w:tr w:rsidR="00B231AA">
        <w:tc>
          <w:tcPr>
            <w:tcW w:w="9478" w:type="dxa"/>
            <w:tcBorders>
              <w:top w:val="single" w:sz="4" w:space="0" w:color="auto"/>
              <w:left w:val="single" w:sz="4" w:space="0" w:color="auto"/>
              <w:bottom w:val="single" w:sz="4" w:space="0" w:color="auto"/>
              <w:right w:val="single" w:sz="4" w:space="0" w:color="auto"/>
            </w:tcBorders>
          </w:tcPr>
          <w:p w:rsidR="00BE4EBD" w:rsidRDefault="00CA06DD" w:rsidP="008151E5">
            <w:pPr>
              <w:pStyle w:val="TableText"/>
            </w:pPr>
            <w:r>
              <w:t>Student learning is assess</w:t>
            </w:r>
            <w:r w:rsidR="00E34105">
              <w:t>ed</w:t>
            </w:r>
            <w:r>
              <w:t xml:space="preserve"> via a Quick Write at the end of the lesson. Students answer the following prompt, citing textual evidence to support analysis and inferences drawn from the text.</w:t>
            </w:r>
          </w:p>
          <w:p w:rsidR="00454C03" w:rsidRDefault="00C35232" w:rsidP="008B6FF1">
            <w:pPr>
              <w:pStyle w:val="BulletedList"/>
            </w:pPr>
            <w:r>
              <w:t>Delineate the argument and specific claim</w:t>
            </w:r>
            <w:r w:rsidR="001A2ADF">
              <w:t>s in paragraphs 10</w:t>
            </w:r>
            <w:r w:rsidR="00454C03">
              <w:t>–</w:t>
            </w:r>
            <w:r>
              <w:t>11. Assess whether King’s evidence is relevant and sufficient.</w:t>
            </w:r>
          </w:p>
        </w:tc>
      </w:tr>
      <w:tr w:rsidR="00263AF5" w:rsidRPr="00B00346">
        <w:tc>
          <w:tcPr>
            <w:tcW w:w="9478" w:type="dxa"/>
            <w:shd w:val="clear" w:color="auto" w:fill="76923C"/>
          </w:tcPr>
          <w:p w:rsidR="00D920A6" w:rsidRPr="00B00346" w:rsidRDefault="00D920A6" w:rsidP="00B00346">
            <w:pPr>
              <w:pStyle w:val="TableHeaders"/>
            </w:pPr>
            <w:r w:rsidRPr="00B00346">
              <w:t>High Performance Response(s)</w:t>
            </w:r>
          </w:p>
        </w:tc>
      </w:tr>
      <w:tr w:rsidR="00D920A6">
        <w:tc>
          <w:tcPr>
            <w:tcW w:w="9478" w:type="dxa"/>
          </w:tcPr>
          <w:p w:rsidR="00BE4EBD" w:rsidRDefault="000B2D56" w:rsidP="008151E5">
            <w:pPr>
              <w:pStyle w:val="TableText"/>
            </w:pPr>
            <w:r>
              <w:t xml:space="preserve">A </w:t>
            </w:r>
            <w:r w:rsidR="0063719C">
              <w:t>High Performance Response should</w:t>
            </w:r>
            <w:r w:rsidR="00BE4EBD">
              <w:t>:</w:t>
            </w:r>
          </w:p>
          <w:p w:rsidR="00E14548" w:rsidRDefault="00DC0ED3" w:rsidP="00064850">
            <w:pPr>
              <w:pStyle w:val="BulletedList"/>
            </w:pPr>
            <w:r>
              <w:t xml:space="preserve">Delineate </w:t>
            </w:r>
            <w:r w:rsidR="00FA413E">
              <w:t>a central</w:t>
            </w:r>
            <w:r>
              <w:t xml:space="preserve"> and </w:t>
            </w:r>
            <w:r w:rsidR="00FA413E">
              <w:t xml:space="preserve">supporting </w:t>
            </w:r>
            <w:r>
              <w:t>claims from “Letter from Birmingham Jail”</w:t>
            </w:r>
            <w:r w:rsidR="00E44635">
              <w:t xml:space="preserve">(e.g., King’s </w:t>
            </w:r>
            <w:r w:rsidR="00FA413E">
              <w:t xml:space="preserve">central claim </w:t>
            </w:r>
            <w:r w:rsidR="00E44635">
              <w:t>in paragraphs 10</w:t>
            </w:r>
            <w:r w:rsidR="008F0C56">
              <w:t>–</w:t>
            </w:r>
            <w:r w:rsidR="00E44635">
              <w:t>11 is that</w:t>
            </w:r>
            <w:r w:rsidR="00E44635">
              <w:rPr>
                <w:b/>
              </w:rPr>
              <w:t xml:space="preserve"> </w:t>
            </w:r>
            <w:r w:rsidR="00541481" w:rsidRPr="00541481">
              <w:t>African Americans cannot wait to secure their civil rights and most immediately engage in “determined legal and nonviolent pressure</w:t>
            </w:r>
            <w:r w:rsidR="00B7736C">
              <w:t xml:space="preserve">” </w:t>
            </w:r>
            <w:r w:rsidR="008F0C56">
              <w:t>(</w:t>
            </w:r>
            <w:r w:rsidR="00B7736C">
              <w:t>par. 10</w:t>
            </w:r>
            <w:r w:rsidR="008F0C56">
              <w:t>)</w:t>
            </w:r>
            <w:r w:rsidR="00E44635">
              <w:t>)</w:t>
            </w:r>
            <w:r w:rsidR="008F0C56">
              <w:t>.</w:t>
            </w:r>
          </w:p>
          <w:p w:rsidR="00DC0ED3" w:rsidRDefault="00DC0ED3" w:rsidP="00064850">
            <w:pPr>
              <w:pStyle w:val="BulletedList"/>
            </w:pPr>
            <w:r>
              <w:t>Cite specific evidence King uses</w:t>
            </w:r>
            <w:r w:rsidR="001442F5">
              <w:t xml:space="preserve"> to support his claims</w:t>
            </w:r>
            <w:r w:rsidR="00E44635">
              <w:t xml:space="preserve"> (e.g., </w:t>
            </w:r>
            <w:r w:rsidR="00897DD9">
              <w:t xml:space="preserve">to </w:t>
            </w:r>
            <w:r w:rsidR="00E44635">
              <w:t xml:space="preserve">support his claim that </w:t>
            </w:r>
            <w:r w:rsidR="00F96E22">
              <w:t>African Americans cannot expect Mr. Boutwell to “bring the millennium to Birmingham” without pressure, King cites that Mr. Boutwell is a segregationist dedicated to “</w:t>
            </w:r>
            <w:r w:rsidR="00B7736C">
              <w:t>maintaining the status quo</w:t>
            </w:r>
            <w:r w:rsidR="00F96E22">
              <w:t>”</w:t>
            </w:r>
            <w:r w:rsidR="008F0C56">
              <w:t xml:space="preserve"> (</w:t>
            </w:r>
            <w:r w:rsidR="00B7736C">
              <w:t>par. 10</w:t>
            </w:r>
            <w:r w:rsidR="008F0C56">
              <w:t>)</w:t>
            </w:r>
            <w:r w:rsidR="00B7736C">
              <w:t>)</w:t>
            </w:r>
            <w:r w:rsidR="008F0C56">
              <w:t>.</w:t>
            </w:r>
          </w:p>
          <w:p w:rsidR="00DC0ED3" w:rsidRPr="003908D2" w:rsidRDefault="00DC0ED3" w:rsidP="008B6FF1">
            <w:pPr>
              <w:pStyle w:val="BulletedList"/>
            </w:pPr>
            <w:r>
              <w:t xml:space="preserve">Assess </w:t>
            </w:r>
            <w:r w:rsidR="008B6FF1">
              <w:t>whether King’s evidence is</w:t>
            </w:r>
            <w:r>
              <w:t xml:space="preserve"> </w:t>
            </w:r>
            <w:r w:rsidR="00FC5D7E">
              <w:t>relevant</w:t>
            </w:r>
            <w:r>
              <w:t xml:space="preserve"> and sufficien</w:t>
            </w:r>
            <w:r w:rsidR="00FC5D7E">
              <w:t>t</w:t>
            </w:r>
            <w:r>
              <w:t xml:space="preserve"> King’s </w:t>
            </w:r>
            <w:r w:rsidR="00F96E22">
              <w:t>(e.g., King’s evidence is sufficient because for each claim he makes, he provides several pieces of very strong evidence. For example, when King claims that African Americans cannot expect Mr. Boutwell to “bring the millennium to Birmingham” without pressure, he supports it with specific evidence of Mr. Boutwell’s belief in segregation, and Mr. Boutwell’s “dedicat[ion] to the tas</w:t>
            </w:r>
            <w:r w:rsidR="00B7736C">
              <w:t>k of maintaining the status quo</w:t>
            </w:r>
            <w:r w:rsidR="00F96E22">
              <w:t>”</w:t>
            </w:r>
            <w:r w:rsidR="00B7736C">
              <w:t xml:space="preserve"> </w:t>
            </w:r>
            <w:r w:rsidR="008F0C56">
              <w:t>(</w:t>
            </w:r>
            <w:r w:rsidR="00B7736C">
              <w:t>par. 10</w:t>
            </w:r>
            <w:r w:rsidR="008F0C56">
              <w:t>)</w:t>
            </w:r>
            <w:r w:rsidR="00754D39">
              <w:t>)</w:t>
            </w:r>
            <w:r w:rsidR="008F0C56">
              <w:t>.</w:t>
            </w:r>
          </w:p>
        </w:tc>
      </w:tr>
    </w:tbl>
    <w:p w:rsidR="00C4787C" w:rsidRDefault="00C4787C" w:rsidP="00E946A0">
      <w:pPr>
        <w:pStyle w:val="Heading1"/>
      </w:pPr>
      <w:r>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0"/>
      </w:tblGrid>
      <w:tr w:rsidR="00C02EC2" w:rsidRPr="00B00346">
        <w:tc>
          <w:tcPr>
            <w:tcW w:w="9450" w:type="dxa"/>
            <w:shd w:val="clear" w:color="auto" w:fill="76923C"/>
          </w:tcPr>
          <w:p w:rsidR="00D920A6" w:rsidRPr="00B00346" w:rsidRDefault="00F308FF" w:rsidP="00B00346">
            <w:pPr>
              <w:pStyle w:val="TableHeaders"/>
            </w:pPr>
            <w:r w:rsidRPr="00B00346">
              <w:t>Vocabulary to provide directly (will not include extended instruction)</w:t>
            </w:r>
          </w:p>
        </w:tc>
      </w:tr>
      <w:tr w:rsidR="00D920A6">
        <w:tc>
          <w:tcPr>
            <w:tcW w:w="9450" w:type="dxa"/>
          </w:tcPr>
          <w:p w:rsidR="005E1F34" w:rsidRDefault="00A05793" w:rsidP="002A6C6E">
            <w:pPr>
              <w:pStyle w:val="BulletedList"/>
            </w:pPr>
            <w:r>
              <w:t xml:space="preserve">thalidomide (n.) </w:t>
            </w:r>
            <w:r w:rsidR="00E63756">
              <w:t>–</w:t>
            </w:r>
            <w:r>
              <w:t xml:space="preserve"> </w:t>
            </w:r>
            <w:r w:rsidR="00E63756">
              <w:t>a sedative</w:t>
            </w:r>
            <w:r w:rsidR="00652A05">
              <w:t xml:space="preserve">, commonly prescribed to </w:t>
            </w:r>
            <w:r w:rsidR="000A6475">
              <w:t>pregnant women with morning sickness in the 1950’s and early 1960’s.</w:t>
            </w:r>
            <w:r w:rsidR="00E63756">
              <w:t xml:space="preserve"> </w:t>
            </w:r>
            <w:r w:rsidR="000A6475">
              <w:t>W</w:t>
            </w:r>
            <w:r w:rsidR="00652A05">
              <w:t>hen</w:t>
            </w:r>
            <w:r w:rsidR="00E63756">
              <w:t xml:space="preserve"> taken </w:t>
            </w:r>
            <w:r w:rsidR="00E712E2">
              <w:t>during pregnancy, it</w:t>
            </w:r>
            <w:r w:rsidR="00E63756">
              <w:t xml:space="preserve"> cause</w:t>
            </w:r>
            <w:r w:rsidR="00652A05">
              <w:t>d</w:t>
            </w:r>
            <w:r w:rsidR="00E63756">
              <w:t xml:space="preserve"> severe abnormal</w:t>
            </w:r>
            <w:r w:rsidR="00064A67">
              <w:t xml:space="preserve">ities in the limbs </w:t>
            </w:r>
            <w:r w:rsidR="00CA5C7B">
              <w:t xml:space="preserve">of </w:t>
            </w:r>
            <w:r w:rsidR="00064A67">
              <w:t>fetus</w:t>
            </w:r>
            <w:r w:rsidR="00652A05">
              <w:t>es. By 196</w:t>
            </w:r>
            <w:r w:rsidR="000A6475">
              <w:t>3</w:t>
            </w:r>
            <w:r w:rsidR="00652A05">
              <w:t xml:space="preserve"> when this letter was written, the drug</w:t>
            </w:r>
            <w:r w:rsidR="000A6475">
              <w:t xml:space="preserve"> had been taken off the international market</w:t>
            </w:r>
            <w:r w:rsidR="00652A05">
              <w:t>.</w:t>
            </w:r>
          </w:p>
          <w:p w:rsidR="007F66F8" w:rsidRDefault="007F66F8" w:rsidP="007F66F8">
            <w:pPr>
              <w:pStyle w:val="BulletedList"/>
              <w:ind w:left="317" w:hanging="317"/>
            </w:pPr>
            <w:r>
              <w:t xml:space="preserve">lynch (v.) – </w:t>
            </w:r>
            <w:r w:rsidRPr="00F54CC5">
              <w:t>to put to death, especially by hanging, by mob act</w:t>
            </w:r>
            <w:r>
              <w:t>ion and without legal authority</w:t>
            </w:r>
          </w:p>
          <w:p w:rsidR="00A05793" w:rsidRPr="00B231AA" w:rsidRDefault="00A05793" w:rsidP="00897DD9">
            <w:pPr>
              <w:pStyle w:val="BulletedList"/>
            </w:pPr>
            <w:r>
              <w:t xml:space="preserve">pathos (n.) </w:t>
            </w:r>
            <w:r w:rsidR="00E63756">
              <w:t>–</w:t>
            </w:r>
            <w:r>
              <w:t xml:space="preserve"> </w:t>
            </w:r>
            <w:r w:rsidR="00E63756">
              <w:t xml:space="preserve">the quality or power in an actual life experience or in literature, music, speech, or other </w:t>
            </w:r>
            <w:r w:rsidR="00064A67">
              <w:t>forms of expression, of evoking a feeling of pity or compassion</w:t>
            </w:r>
          </w:p>
        </w:tc>
      </w:tr>
      <w:tr w:rsidR="00263AF5" w:rsidRPr="00F308FF">
        <w:tc>
          <w:tcPr>
            <w:tcW w:w="9450" w:type="dxa"/>
            <w:shd w:val="clear" w:color="auto" w:fill="76923C"/>
          </w:tcPr>
          <w:p w:rsidR="00D920A6" w:rsidRPr="002E4C92" w:rsidRDefault="00BA46CB" w:rsidP="00B00346">
            <w:pPr>
              <w:pStyle w:val="TableHeaders"/>
            </w:pPr>
            <w:r w:rsidRPr="00BA46CB">
              <w:t>Vocabulary to teach (may include direct word work and/or questions)</w:t>
            </w:r>
          </w:p>
        </w:tc>
      </w:tr>
      <w:tr w:rsidR="002A6C6E">
        <w:tc>
          <w:tcPr>
            <w:tcW w:w="9450" w:type="dxa"/>
          </w:tcPr>
          <w:p w:rsidR="00AC4A7A" w:rsidRDefault="00AC4A7A" w:rsidP="00187F56">
            <w:pPr>
              <w:pStyle w:val="BulletedList"/>
            </w:pPr>
            <w:r>
              <w:t>status quo (n.) – the existing state or condition</w:t>
            </w:r>
          </w:p>
          <w:p w:rsidR="008029C9" w:rsidRDefault="008029C9" w:rsidP="003A37AA">
            <w:pPr>
              <w:pStyle w:val="BulletedList"/>
            </w:pPr>
            <w:r>
              <w:t xml:space="preserve">legitimate (adj.) – </w:t>
            </w:r>
            <w:r w:rsidR="003A37AA">
              <w:t>fair or reasonable</w:t>
            </w:r>
          </w:p>
        </w:tc>
      </w:tr>
    </w:tbl>
    <w:p w:rsidR="00C4787C" w:rsidRDefault="00C4787C" w:rsidP="00E946A0">
      <w:pPr>
        <w:pStyle w:val="Heading1"/>
      </w:pPr>
      <w:r>
        <w:lastRenderedPageBreak/>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0"/>
        <w:gridCol w:w="1638"/>
      </w:tblGrid>
      <w:tr w:rsidR="00263AF5" w:rsidRPr="00C02EC2">
        <w:tc>
          <w:tcPr>
            <w:tcW w:w="7830" w:type="dxa"/>
            <w:tcBorders>
              <w:bottom w:val="single" w:sz="4" w:space="0" w:color="auto"/>
            </w:tcBorders>
            <w:shd w:val="clear" w:color="auto" w:fill="76923C"/>
          </w:tcPr>
          <w:p w:rsidR="00730123" w:rsidRPr="00C02EC2" w:rsidRDefault="00730123" w:rsidP="00B00346">
            <w:pPr>
              <w:pStyle w:val="TableHeaders"/>
            </w:pPr>
            <w:r w:rsidRPr="00C02EC2">
              <w:t xml:space="preserve">Student-Facing </w:t>
            </w:r>
            <w:r w:rsidRPr="00B00346">
              <w:t>Agenda</w:t>
            </w:r>
          </w:p>
        </w:tc>
        <w:tc>
          <w:tcPr>
            <w:tcW w:w="1638" w:type="dxa"/>
            <w:tcBorders>
              <w:bottom w:val="single" w:sz="4" w:space="0" w:color="auto"/>
            </w:tcBorders>
            <w:shd w:val="clear" w:color="auto" w:fill="76923C"/>
          </w:tcPr>
          <w:p w:rsidR="00730123" w:rsidRPr="00C02EC2" w:rsidRDefault="00730123" w:rsidP="00B00346">
            <w:pPr>
              <w:pStyle w:val="TableHeaders"/>
            </w:pPr>
            <w:r w:rsidRPr="00C02EC2">
              <w:t>% of Lesson</w:t>
            </w:r>
          </w:p>
        </w:tc>
      </w:tr>
      <w:tr w:rsidR="00730123">
        <w:trPr>
          <w:trHeight w:val="1313"/>
        </w:trPr>
        <w:tc>
          <w:tcPr>
            <w:tcW w:w="7830" w:type="dxa"/>
            <w:tcBorders>
              <w:bottom w:val="nil"/>
            </w:tcBorders>
          </w:tcPr>
          <w:p w:rsidR="005F5D35" w:rsidRPr="000B2D56" w:rsidRDefault="005F5D35" w:rsidP="000B2D56">
            <w:pPr>
              <w:pStyle w:val="TableText"/>
              <w:rPr>
                <w:b/>
              </w:rPr>
            </w:pPr>
            <w:r w:rsidRPr="000B2D56">
              <w:rPr>
                <w:b/>
              </w:rPr>
              <w:t>Standards &amp; Text:</w:t>
            </w:r>
          </w:p>
          <w:p w:rsidR="008151E5" w:rsidRDefault="00BE4EBD" w:rsidP="008151E5">
            <w:pPr>
              <w:pStyle w:val="BulletedList"/>
            </w:pPr>
            <w:r>
              <w:t xml:space="preserve">Standards: </w:t>
            </w:r>
            <w:r w:rsidR="009F234D">
              <w:t xml:space="preserve">RI.9-10.8, </w:t>
            </w:r>
            <w:r w:rsidR="00DC0ED3">
              <w:t>RI.9-10.6</w:t>
            </w:r>
            <w:r w:rsidR="00F12E0B">
              <w:t>, L.9-10.</w:t>
            </w:r>
            <w:r w:rsidR="00B56AF8">
              <w:t>4.a</w:t>
            </w:r>
          </w:p>
          <w:p w:rsidR="00730123" w:rsidRDefault="004B7C07" w:rsidP="00897DD9">
            <w:pPr>
              <w:pStyle w:val="BulletedList"/>
            </w:pPr>
            <w:r>
              <w:t xml:space="preserve">Text: </w:t>
            </w:r>
            <w:r w:rsidR="00C35232">
              <w:t xml:space="preserve">“Letter </w:t>
            </w:r>
            <w:r w:rsidR="00C54B32">
              <w:t>f</w:t>
            </w:r>
            <w:r w:rsidR="008E4A19">
              <w:t>rom Birmingham Jail</w:t>
            </w:r>
            <w:r w:rsidR="00C35232">
              <w:t>”</w:t>
            </w:r>
            <w:r w:rsidR="003E57E9">
              <w:t xml:space="preserve"> </w:t>
            </w:r>
            <w:r w:rsidR="00FD0E01">
              <w:t xml:space="preserve">by </w:t>
            </w:r>
            <w:bookmarkStart w:id="0" w:name="_GoBack"/>
            <w:bookmarkEnd w:id="0"/>
            <w:r w:rsidR="003E57E9">
              <w:t>Martin Luther King, Jr.,</w:t>
            </w:r>
            <w:r w:rsidR="00C35232">
              <w:t xml:space="preserve"> paragraphs 10</w:t>
            </w:r>
            <w:r w:rsidR="00157B28">
              <w:t>–</w:t>
            </w:r>
            <w:r w:rsidR="00C35232">
              <w:t>11</w:t>
            </w:r>
          </w:p>
        </w:tc>
        <w:tc>
          <w:tcPr>
            <w:tcW w:w="1638" w:type="dxa"/>
            <w:tcBorders>
              <w:bottom w:val="nil"/>
            </w:tcBorders>
          </w:tcPr>
          <w:p w:rsidR="00C07D88" w:rsidRPr="00C02EC2" w:rsidRDefault="00C07D88" w:rsidP="00E946A0"/>
          <w:p w:rsidR="00AF5A63" w:rsidRDefault="00AF5A63" w:rsidP="00546D71">
            <w:pPr>
              <w:pStyle w:val="NumberedList"/>
              <w:numPr>
                <w:ilvl w:val="0"/>
                <w:numId w:val="0"/>
              </w:numPr>
            </w:pPr>
          </w:p>
        </w:tc>
      </w:tr>
      <w:tr w:rsidR="00546D71">
        <w:tc>
          <w:tcPr>
            <w:tcW w:w="7830" w:type="dxa"/>
            <w:tcBorders>
              <w:top w:val="nil"/>
            </w:tcBorders>
          </w:tcPr>
          <w:p w:rsidR="00546D71" w:rsidRPr="000B2D56" w:rsidRDefault="00546D71" w:rsidP="000B2D56">
            <w:pPr>
              <w:pStyle w:val="TableText"/>
              <w:rPr>
                <w:b/>
              </w:rPr>
            </w:pPr>
            <w:r w:rsidRPr="000B2D56">
              <w:rPr>
                <w:b/>
              </w:rPr>
              <w:t>Learning Sequence:</w:t>
            </w:r>
          </w:p>
          <w:p w:rsidR="00546D71" w:rsidRDefault="00546D71" w:rsidP="00546D71">
            <w:pPr>
              <w:pStyle w:val="NumberedList"/>
            </w:pPr>
            <w:r w:rsidRPr="00F21CD9">
              <w:t>Introduction</w:t>
            </w:r>
            <w:r>
              <w:t xml:space="preserve"> of Lesson Agenda</w:t>
            </w:r>
          </w:p>
          <w:p w:rsidR="00546D71" w:rsidRDefault="00546D71" w:rsidP="00546D71">
            <w:pPr>
              <w:pStyle w:val="NumberedList"/>
            </w:pPr>
            <w:r>
              <w:t>Homework Accountability</w:t>
            </w:r>
          </w:p>
          <w:p w:rsidR="00546D71" w:rsidRDefault="004A1410" w:rsidP="00546D71">
            <w:pPr>
              <w:pStyle w:val="NumberedList"/>
            </w:pPr>
            <w:r>
              <w:t>Masterful Reading</w:t>
            </w:r>
          </w:p>
          <w:p w:rsidR="009F234D" w:rsidRDefault="009F234D" w:rsidP="001A2ADF">
            <w:pPr>
              <w:pStyle w:val="NumberedList"/>
            </w:pPr>
            <w:r>
              <w:t>Reading and Discussion</w:t>
            </w:r>
          </w:p>
          <w:p w:rsidR="00546D71" w:rsidRDefault="004A1410" w:rsidP="00546D71">
            <w:pPr>
              <w:pStyle w:val="NumberedList"/>
            </w:pPr>
            <w:r>
              <w:t>Quick Write</w:t>
            </w:r>
          </w:p>
          <w:p w:rsidR="00546D71" w:rsidRPr="00546D71" w:rsidRDefault="00546D71" w:rsidP="00546D71">
            <w:pPr>
              <w:pStyle w:val="NumberedList"/>
            </w:pPr>
            <w:r>
              <w:t>Closing</w:t>
            </w:r>
          </w:p>
        </w:tc>
        <w:tc>
          <w:tcPr>
            <w:tcW w:w="1638" w:type="dxa"/>
            <w:tcBorders>
              <w:top w:val="nil"/>
            </w:tcBorders>
          </w:tcPr>
          <w:p w:rsidR="00546D71" w:rsidRDefault="00546D71" w:rsidP="000B2D56">
            <w:pPr>
              <w:pStyle w:val="TableText"/>
            </w:pPr>
          </w:p>
          <w:p w:rsidR="00546D71" w:rsidRDefault="00513189" w:rsidP="00202CF1">
            <w:pPr>
              <w:pStyle w:val="NumberedList"/>
              <w:numPr>
                <w:ilvl w:val="0"/>
                <w:numId w:val="1"/>
              </w:numPr>
            </w:pPr>
            <w:r>
              <w:t>5</w:t>
            </w:r>
            <w:r w:rsidR="00546D71">
              <w:t>%</w:t>
            </w:r>
          </w:p>
          <w:p w:rsidR="00546D71" w:rsidRDefault="004B6657" w:rsidP="00546D71">
            <w:pPr>
              <w:pStyle w:val="NumberedList"/>
            </w:pPr>
            <w:r>
              <w:t>1</w:t>
            </w:r>
            <w:r w:rsidR="00377E43">
              <w:t>5</w:t>
            </w:r>
            <w:r w:rsidR="00546D71">
              <w:t>%</w:t>
            </w:r>
          </w:p>
          <w:p w:rsidR="00546D71" w:rsidRDefault="00D37382" w:rsidP="001A2ADF">
            <w:pPr>
              <w:pStyle w:val="NumberedList"/>
            </w:pPr>
            <w:r>
              <w:t>15</w:t>
            </w:r>
            <w:r w:rsidR="00546D71">
              <w:t>%</w:t>
            </w:r>
          </w:p>
          <w:p w:rsidR="009F234D" w:rsidRDefault="00E67FAB" w:rsidP="00546D71">
            <w:pPr>
              <w:pStyle w:val="NumberedList"/>
            </w:pPr>
            <w:r>
              <w:t>45</w:t>
            </w:r>
            <w:r w:rsidR="009F234D">
              <w:t>%</w:t>
            </w:r>
          </w:p>
          <w:p w:rsidR="00546D71" w:rsidRDefault="00563A9F" w:rsidP="00546D71">
            <w:pPr>
              <w:pStyle w:val="NumberedList"/>
            </w:pPr>
            <w:r>
              <w:t>15</w:t>
            </w:r>
            <w:r w:rsidR="00546D71">
              <w:t>%</w:t>
            </w:r>
          </w:p>
          <w:p w:rsidR="00546D71" w:rsidRPr="00C02EC2" w:rsidRDefault="00546D71" w:rsidP="00546D71">
            <w:pPr>
              <w:pStyle w:val="NumberedList"/>
            </w:pPr>
            <w:r>
              <w:t>5%</w:t>
            </w:r>
          </w:p>
        </w:tc>
      </w:tr>
    </w:tbl>
    <w:p w:rsidR="003368BF" w:rsidRDefault="00F308FF" w:rsidP="00E946A0">
      <w:pPr>
        <w:pStyle w:val="Heading1"/>
      </w:pPr>
      <w:r>
        <w:t>Materials</w:t>
      </w:r>
    </w:p>
    <w:p w:rsidR="00065459" w:rsidRDefault="00065459" w:rsidP="00064850">
      <w:pPr>
        <w:pStyle w:val="BulletedList"/>
      </w:pPr>
      <w:r>
        <w:t xml:space="preserve">Copies of the Argument Delineation Tool </w:t>
      </w:r>
      <w:r w:rsidR="003A0293">
        <w:t>for each student</w:t>
      </w:r>
    </w:p>
    <w:p w:rsidR="003A0293" w:rsidRDefault="003A0293" w:rsidP="003A0293">
      <w:pPr>
        <w:pStyle w:val="BulletedList"/>
      </w:pPr>
      <w:r>
        <w:t>Student copies of the Short Response Rubric and Checklist (refer to 10.2.1 Lesson 1)</w:t>
      </w:r>
    </w:p>
    <w:p w:rsidR="00351082" w:rsidRPr="006E7D3C" w:rsidRDefault="00351082" w:rsidP="00064850">
      <w:pPr>
        <w:pStyle w:val="BulletedList"/>
      </w:pPr>
      <w:r>
        <w:t xml:space="preserve">Copies of the </w:t>
      </w:r>
      <w:r w:rsidR="00B56AF8">
        <w:t xml:space="preserve">Central </w:t>
      </w:r>
      <w:r>
        <w:t>Idea</w:t>
      </w:r>
      <w:r w:rsidR="00B56AF8">
        <w:t>s Tracking</w:t>
      </w:r>
      <w:r>
        <w:t xml:space="preserve"> Tool </w:t>
      </w:r>
      <w:r w:rsidR="003A0293">
        <w:t>for each student</w:t>
      </w:r>
    </w:p>
    <w:p w:rsidR="00C4787C" w:rsidRPr="00A24DAB" w:rsidRDefault="00C4787C" w:rsidP="00E946A0">
      <w:pPr>
        <w:pStyle w:val="Heading1"/>
      </w:pPr>
      <w:r w:rsidRPr="00A24DAB">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94"/>
        <w:gridCol w:w="8574"/>
      </w:tblGrid>
      <w:tr w:rsidR="00546D71" w:rsidRPr="001C6EA7">
        <w:tc>
          <w:tcPr>
            <w:tcW w:w="9468" w:type="dxa"/>
            <w:gridSpan w:val="2"/>
            <w:shd w:val="clear" w:color="auto" w:fill="76923C" w:themeFill="accent3" w:themeFillShade="BF"/>
          </w:tcPr>
          <w:p w:rsidR="00546D71" w:rsidRPr="001C6EA7" w:rsidRDefault="00546D71" w:rsidP="00B00346">
            <w:pPr>
              <w:pStyle w:val="TableHeaders"/>
            </w:pPr>
            <w:r w:rsidRPr="001C6EA7">
              <w:t>How to Use the Learning Sequence</w:t>
            </w:r>
          </w:p>
        </w:tc>
      </w:tr>
      <w:tr w:rsidR="00546D71" w:rsidRPr="000D6FA4">
        <w:tc>
          <w:tcPr>
            <w:tcW w:w="894" w:type="dxa"/>
            <w:shd w:val="clear" w:color="auto" w:fill="76923C" w:themeFill="accent3" w:themeFillShade="BF"/>
          </w:tcPr>
          <w:p w:rsidR="00546D71" w:rsidRPr="000D6FA4" w:rsidRDefault="00546D71" w:rsidP="00B00346">
            <w:pPr>
              <w:pStyle w:val="TableHeaders"/>
            </w:pPr>
            <w:r w:rsidRPr="000D6FA4">
              <w:t>Symbol</w:t>
            </w:r>
          </w:p>
        </w:tc>
        <w:tc>
          <w:tcPr>
            <w:tcW w:w="8574" w:type="dxa"/>
            <w:shd w:val="clear" w:color="auto" w:fill="76923C" w:themeFill="accent3" w:themeFillShade="BF"/>
          </w:tcPr>
          <w:p w:rsidR="00546D71" w:rsidRPr="000D6FA4" w:rsidRDefault="00546D71" w:rsidP="00B00346">
            <w:pPr>
              <w:pStyle w:val="TableHeaders"/>
            </w:pPr>
            <w:r w:rsidRPr="000D6FA4">
              <w:t>Type of Text &amp; Interpretation of the Symbol</w:t>
            </w:r>
          </w:p>
        </w:tc>
      </w:tr>
      <w:tr w:rsidR="00546D71" w:rsidRPr="00E65C14">
        <w:tc>
          <w:tcPr>
            <w:tcW w:w="894" w:type="dxa"/>
          </w:tcPr>
          <w:p w:rsidR="00546D71" w:rsidRPr="00E65C14" w:rsidRDefault="00546D71" w:rsidP="00C35232">
            <w:pPr>
              <w:spacing w:before="20" w:after="20" w:line="240" w:lineRule="auto"/>
              <w:jc w:val="center"/>
              <w:rPr>
                <w:rFonts w:asciiTheme="minorHAnsi" w:hAnsiTheme="minorHAnsi"/>
                <w:b/>
                <w:color w:val="4F81BD" w:themeColor="accent1"/>
                <w:sz w:val="20"/>
              </w:rPr>
            </w:pPr>
            <w:r w:rsidRPr="00E65C14">
              <w:rPr>
                <w:rFonts w:asciiTheme="minorHAnsi" w:hAnsiTheme="minorHAnsi"/>
                <w:b/>
                <w:color w:val="4F81BD" w:themeColor="accent1"/>
                <w:sz w:val="20"/>
              </w:rPr>
              <w:t>10%</w:t>
            </w:r>
          </w:p>
        </w:tc>
        <w:tc>
          <w:tcPr>
            <w:tcW w:w="8574" w:type="dxa"/>
          </w:tcPr>
          <w:p w:rsidR="00546D71" w:rsidRPr="00E65C14" w:rsidRDefault="00546D71" w:rsidP="00C35232">
            <w:pPr>
              <w:spacing w:before="20" w:after="20" w:line="240" w:lineRule="auto"/>
              <w:rPr>
                <w:rFonts w:asciiTheme="minorHAnsi" w:hAnsiTheme="minorHAnsi"/>
                <w:b/>
                <w:color w:val="4F81BD" w:themeColor="accent1"/>
                <w:sz w:val="20"/>
              </w:rPr>
            </w:pPr>
            <w:r w:rsidRPr="00E65C14">
              <w:rPr>
                <w:rFonts w:asciiTheme="minorHAnsi" w:hAnsiTheme="minorHAnsi"/>
                <w:b/>
                <w:color w:val="4F81BD" w:themeColor="accent1"/>
                <w:sz w:val="20"/>
              </w:rPr>
              <w:t>Percentage indicates the percentage of lesson time each activity should take.</w:t>
            </w:r>
          </w:p>
        </w:tc>
      </w:tr>
      <w:tr w:rsidR="00A948B3" w:rsidRPr="000D6FA4">
        <w:tc>
          <w:tcPr>
            <w:tcW w:w="894" w:type="dxa"/>
            <w:vMerge w:val="restart"/>
            <w:vAlign w:val="center"/>
          </w:tcPr>
          <w:p w:rsidR="00A948B3" w:rsidRPr="00A948B3" w:rsidRDefault="0097223B" w:rsidP="00A948B3">
            <w:pPr>
              <w:spacing w:before="20" w:after="20" w:line="240" w:lineRule="auto"/>
              <w:jc w:val="center"/>
              <w:rPr>
                <w:sz w:val="18"/>
              </w:rPr>
            </w:pPr>
            <w:r>
              <w:rPr>
                <w:sz w:val="18"/>
              </w:rPr>
              <w:t>n</w:t>
            </w:r>
            <w:r w:rsidR="00A948B3" w:rsidRPr="00A948B3">
              <w:rPr>
                <w:sz w:val="18"/>
              </w:rPr>
              <w:t>o symbol</w:t>
            </w:r>
          </w:p>
        </w:tc>
        <w:tc>
          <w:tcPr>
            <w:tcW w:w="8574" w:type="dxa"/>
          </w:tcPr>
          <w:p w:rsidR="00A948B3" w:rsidRPr="000D6FA4" w:rsidRDefault="00A948B3" w:rsidP="00C35232">
            <w:pPr>
              <w:spacing w:before="20" w:after="20" w:line="240" w:lineRule="auto"/>
              <w:rPr>
                <w:sz w:val="20"/>
              </w:rPr>
            </w:pPr>
            <w:r>
              <w:rPr>
                <w:sz w:val="20"/>
              </w:rPr>
              <w:t xml:space="preserve">Plain text </w:t>
            </w:r>
            <w:r w:rsidRPr="000D6FA4">
              <w:rPr>
                <w:sz w:val="20"/>
              </w:rPr>
              <w:t>indicates teacher action.</w:t>
            </w:r>
          </w:p>
        </w:tc>
      </w:tr>
      <w:tr w:rsidR="00A948B3" w:rsidRPr="000D6FA4">
        <w:tc>
          <w:tcPr>
            <w:tcW w:w="894" w:type="dxa"/>
            <w:vMerge/>
          </w:tcPr>
          <w:p w:rsidR="00A948B3" w:rsidRPr="000D6FA4" w:rsidRDefault="00A948B3" w:rsidP="00C35232">
            <w:pPr>
              <w:spacing w:before="20" w:after="20" w:line="240" w:lineRule="auto"/>
              <w:jc w:val="center"/>
              <w:rPr>
                <w:b/>
                <w:color w:val="000000" w:themeColor="text1"/>
                <w:sz w:val="20"/>
              </w:rPr>
            </w:pPr>
          </w:p>
        </w:tc>
        <w:tc>
          <w:tcPr>
            <w:tcW w:w="8574" w:type="dxa"/>
          </w:tcPr>
          <w:p w:rsidR="00A948B3" w:rsidRPr="000D6FA4" w:rsidRDefault="00BA46CB" w:rsidP="00A948B3">
            <w:pPr>
              <w:spacing w:before="20" w:after="20" w:line="240" w:lineRule="auto"/>
              <w:rPr>
                <w:color w:val="4F81BD" w:themeColor="accent1"/>
                <w:sz w:val="20"/>
              </w:rPr>
            </w:pPr>
            <w:r w:rsidRPr="00BA46CB">
              <w:rPr>
                <w:b/>
                <w:sz w:val="20"/>
              </w:rPr>
              <w:t>Bold text indicates questions for the teacher to ask students.</w:t>
            </w:r>
          </w:p>
        </w:tc>
      </w:tr>
      <w:tr w:rsidR="00A948B3" w:rsidRPr="000D6FA4">
        <w:tc>
          <w:tcPr>
            <w:tcW w:w="894" w:type="dxa"/>
            <w:vMerge/>
          </w:tcPr>
          <w:p w:rsidR="00A948B3" w:rsidRPr="000D6FA4" w:rsidRDefault="00A948B3" w:rsidP="00C35232">
            <w:pPr>
              <w:spacing w:before="20" w:after="20" w:line="240" w:lineRule="auto"/>
              <w:jc w:val="center"/>
              <w:rPr>
                <w:b/>
                <w:color w:val="000000" w:themeColor="text1"/>
                <w:sz w:val="20"/>
              </w:rPr>
            </w:pPr>
          </w:p>
        </w:tc>
        <w:tc>
          <w:tcPr>
            <w:tcW w:w="8574" w:type="dxa"/>
          </w:tcPr>
          <w:p w:rsidR="00A948B3" w:rsidRPr="001E189E" w:rsidRDefault="00A948B3" w:rsidP="00A948B3">
            <w:pPr>
              <w:spacing w:before="20" w:after="20" w:line="240" w:lineRule="auto"/>
              <w:rPr>
                <w:i/>
                <w:sz w:val="20"/>
              </w:rPr>
            </w:pPr>
            <w:r w:rsidRPr="001E189E">
              <w:rPr>
                <w:i/>
                <w:sz w:val="20"/>
              </w:rPr>
              <w:t>Italicized text indicates a vocabulary word.</w:t>
            </w:r>
          </w:p>
        </w:tc>
      </w:tr>
      <w:tr w:rsidR="00546D71"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546D71" w:rsidRDefault="00546D71" w:rsidP="002A5337">
            <w:pPr>
              <w:spacing w:before="40" w:after="0" w:line="240" w:lineRule="auto"/>
              <w:jc w:val="center"/>
              <w:rPr>
                <w:sz w:val="20"/>
              </w:rPr>
            </w:pPr>
            <w:r>
              <w:sym w:font="Webdings" w:char="F034"/>
            </w:r>
          </w:p>
        </w:tc>
        <w:tc>
          <w:tcPr>
            <w:tcW w:w="8574" w:type="dxa"/>
          </w:tcPr>
          <w:p w:rsidR="00546D71" w:rsidRPr="000C0112" w:rsidRDefault="00546D71" w:rsidP="00C35232">
            <w:pPr>
              <w:spacing w:before="20" w:after="20" w:line="240" w:lineRule="auto"/>
              <w:rPr>
                <w:sz w:val="20"/>
              </w:rPr>
            </w:pPr>
            <w:r w:rsidRPr="001708C2">
              <w:rPr>
                <w:sz w:val="20"/>
              </w:rPr>
              <w:t>Indicates student action(s).</w:t>
            </w:r>
          </w:p>
        </w:tc>
      </w:tr>
      <w:tr w:rsidR="00546D71"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546D71" w:rsidRDefault="00546D71" w:rsidP="002A5337">
            <w:pPr>
              <w:spacing w:before="80" w:after="0" w:line="240" w:lineRule="auto"/>
              <w:jc w:val="center"/>
              <w:rPr>
                <w:sz w:val="20"/>
              </w:rPr>
            </w:pPr>
            <w:r>
              <w:rPr>
                <w:sz w:val="20"/>
              </w:rPr>
              <w:sym w:font="Webdings" w:char="F028"/>
            </w:r>
          </w:p>
        </w:tc>
        <w:tc>
          <w:tcPr>
            <w:tcW w:w="8574" w:type="dxa"/>
          </w:tcPr>
          <w:p w:rsidR="00546D71" w:rsidRPr="000C0112" w:rsidRDefault="00546D71" w:rsidP="00C35232">
            <w:pPr>
              <w:spacing w:before="20" w:after="20" w:line="240" w:lineRule="auto"/>
              <w:rPr>
                <w:sz w:val="20"/>
              </w:rPr>
            </w:pPr>
            <w:r w:rsidRPr="001708C2">
              <w:rPr>
                <w:sz w:val="20"/>
              </w:rPr>
              <w:t>Indicates possible student response(s) to teacher questions.</w:t>
            </w:r>
          </w:p>
        </w:tc>
      </w:tr>
      <w:tr w:rsidR="00546D71" w:rsidRPr="000D6FA4">
        <w:tc>
          <w:tcPr>
            <w:tcW w:w="894" w:type="dxa"/>
            <w:vAlign w:val="bottom"/>
          </w:tcPr>
          <w:p w:rsidR="00546D71" w:rsidRPr="000D6FA4" w:rsidRDefault="00546D71" w:rsidP="002A5337">
            <w:pPr>
              <w:spacing w:after="0" w:line="240" w:lineRule="auto"/>
              <w:jc w:val="center"/>
              <w:rPr>
                <w:color w:val="4F81BD" w:themeColor="accent1"/>
                <w:sz w:val="20"/>
              </w:rPr>
            </w:pPr>
            <w:r w:rsidRPr="000D6FA4">
              <w:rPr>
                <w:color w:val="4F81BD" w:themeColor="accent1"/>
                <w:sz w:val="20"/>
              </w:rPr>
              <w:sym w:font="Webdings" w:char="F069"/>
            </w:r>
          </w:p>
        </w:tc>
        <w:tc>
          <w:tcPr>
            <w:tcW w:w="8574" w:type="dxa"/>
          </w:tcPr>
          <w:p w:rsidR="00546D71" w:rsidRPr="000D6FA4" w:rsidRDefault="00546D71" w:rsidP="00C35232">
            <w:pPr>
              <w:spacing w:before="20" w:after="20" w:line="240" w:lineRule="auto"/>
              <w:rPr>
                <w:color w:val="4F81BD" w:themeColor="accent1"/>
                <w:sz w:val="20"/>
              </w:rPr>
            </w:pPr>
            <w:r>
              <w:rPr>
                <w:color w:val="4F81BD" w:themeColor="accent1"/>
                <w:sz w:val="20"/>
              </w:rPr>
              <w:t>I</w:t>
            </w:r>
            <w:r w:rsidRPr="000D6FA4">
              <w:rPr>
                <w:color w:val="4F81BD" w:themeColor="accent1"/>
                <w:sz w:val="20"/>
              </w:rPr>
              <w:t>ndicates instructional notes for the teacher.</w:t>
            </w:r>
          </w:p>
        </w:tc>
      </w:tr>
    </w:tbl>
    <w:p w:rsidR="00607856" w:rsidRPr="00A24DAB" w:rsidRDefault="00BB27BA" w:rsidP="003E57E9">
      <w:pPr>
        <w:pStyle w:val="LearningSequenceHeader"/>
        <w:keepNext/>
      </w:pPr>
      <w:r w:rsidRPr="00A24DAB">
        <w:t>Activity 1</w:t>
      </w:r>
      <w:r w:rsidR="00607856" w:rsidRPr="00A24DAB">
        <w:t xml:space="preserve">: </w:t>
      </w:r>
      <w:r w:rsidRPr="00A24DAB">
        <w:t>Introduction of Lesson Agenda</w:t>
      </w:r>
      <w:r w:rsidR="00607856" w:rsidRPr="00A24DAB">
        <w:tab/>
      </w:r>
      <w:r w:rsidR="00377E43">
        <w:t>5</w:t>
      </w:r>
      <w:r w:rsidR="00607856" w:rsidRPr="00A24DAB">
        <w:t>%</w:t>
      </w:r>
    </w:p>
    <w:p w:rsidR="00421A2E" w:rsidRDefault="00254EAD" w:rsidP="00421A2E">
      <w:pPr>
        <w:pStyle w:val="TA"/>
      </w:pPr>
      <w:r>
        <w:t>Begin by reviewing the assessed stand</w:t>
      </w:r>
      <w:r w:rsidR="00854FB0">
        <w:t>ard for this lesson: RI.9-10.8.</w:t>
      </w:r>
      <w:r>
        <w:t xml:space="preserve"> In this lesson,</w:t>
      </w:r>
      <w:r w:rsidR="004E0274">
        <w:t xml:space="preserve"> students</w:t>
      </w:r>
      <w:r w:rsidR="00DC0ED3">
        <w:t xml:space="preserve"> read</w:t>
      </w:r>
      <w:r w:rsidR="00563A9F">
        <w:t xml:space="preserve"> paragraphs 10</w:t>
      </w:r>
      <w:r w:rsidR="00454C03">
        <w:t>–</w:t>
      </w:r>
      <w:r w:rsidR="004E0274">
        <w:t>11</w:t>
      </w:r>
      <w:r w:rsidR="00854FB0">
        <w:t xml:space="preserve"> of “Letter </w:t>
      </w:r>
      <w:r w:rsidR="00C54B32">
        <w:t>f</w:t>
      </w:r>
      <w:r w:rsidR="00854FB0">
        <w:t xml:space="preserve">rom Birmingham Jail” in order to </w:t>
      </w:r>
      <w:r w:rsidR="003C50CA">
        <w:t>delineate</w:t>
      </w:r>
      <w:r w:rsidR="00854FB0">
        <w:t xml:space="preserve"> </w:t>
      </w:r>
      <w:r w:rsidR="001A2ADF">
        <w:t xml:space="preserve">King’s </w:t>
      </w:r>
      <w:r w:rsidR="003C50CA">
        <w:t xml:space="preserve">central </w:t>
      </w:r>
      <w:r>
        <w:t xml:space="preserve">and </w:t>
      </w:r>
      <w:r w:rsidR="003C50CA">
        <w:t xml:space="preserve">supporting </w:t>
      </w:r>
      <w:r>
        <w:t>cl</w:t>
      </w:r>
      <w:r w:rsidR="001A2ADF">
        <w:t>aims</w:t>
      </w:r>
      <w:r w:rsidR="00FC5D7E">
        <w:t>,</w:t>
      </w:r>
      <w:r w:rsidR="001A2ADF">
        <w:t xml:space="preserve"> and assess</w:t>
      </w:r>
      <w:r w:rsidR="00FC5D7E">
        <w:t xml:space="preserve"> how</w:t>
      </w:r>
      <w:r w:rsidR="001A2ADF">
        <w:t xml:space="preserve"> </w:t>
      </w:r>
      <w:r w:rsidR="00897DD9">
        <w:t>relevant and suffi</w:t>
      </w:r>
      <w:r w:rsidR="00FC5D7E">
        <w:t>ci</w:t>
      </w:r>
      <w:r w:rsidR="00897DD9">
        <w:t xml:space="preserve">ent </w:t>
      </w:r>
      <w:r w:rsidR="00FC5D7E">
        <w:t xml:space="preserve">King’s </w:t>
      </w:r>
      <w:r w:rsidR="001A2ADF">
        <w:t>evidence</w:t>
      </w:r>
      <w:r w:rsidR="00FC5D7E">
        <w:t xml:space="preserve"> is</w:t>
      </w:r>
      <w:r w:rsidR="00897DD9">
        <w:t xml:space="preserve">. </w:t>
      </w:r>
      <w:r w:rsidR="00854FB0">
        <w:t>Students engage in evidence-based discussion</w:t>
      </w:r>
      <w:r w:rsidR="008B6FF1">
        <w:t xml:space="preserve"> and</w:t>
      </w:r>
      <w:r w:rsidR="00854FB0">
        <w:t xml:space="preserve"> complete a brief writing assignment at the </w:t>
      </w:r>
      <w:r w:rsidR="00FC5D7E">
        <w:t>end of the lesson</w:t>
      </w:r>
      <w:r w:rsidR="00854FB0">
        <w:t>.</w:t>
      </w:r>
    </w:p>
    <w:p w:rsidR="00AB5308" w:rsidRDefault="004E0274" w:rsidP="005B1F83">
      <w:pPr>
        <w:pStyle w:val="SA"/>
      </w:pPr>
      <w:r>
        <w:t xml:space="preserve">Students </w:t>
      </w:r>
      <w:r w:rsidR="00897DD9">
        <w:t>look at the agenda</w:t>
      </w:r>
      <w:r>
        <w:t>.</w:t>
      </w:r>
    </w:p>
    <w:p w:rsidR="000B2D56" w:rsidRDefault="000B2D56" w:rsidP="00CE2836">
      <w:pPr>
        <w:pStyle w:val="LearningSequenceHeader"/>
      </w:pPr>
      <w:r>
        <w:t>Activity 2</w:t>
      </w:r>
      <w:r w:rsidRPr="000B2D56">
        <w:t xml:space="preserve">: </w:t>
      </w:r>
      <w:r>
        <w:t>Homework Accountability</w:t>
      </w:r>
      <w:r>
        <w:tab/>
      </w:r>
      <w:r w:rsidR="00DC0ED3">
        <w:t>1</w:t>
      </w:r>
      <w:r w:rsidR="00377E43">
        <w:t>5</w:t>
      </w:r>
      <w:r w:rsidRPr="000B2D56">
        <w:t>%</w:t>
      </w:r>
    </w:p>
    <w:p w:rsidR="00AE7B50" w:rsidRDefault="00AE7B50" w:rsidP="00AE7B50">
      <w:pPr>
        <w:pStyle w:val="TA"/>
      </w:pPr>
      <w:r w:rsidRPr="00E51822">
        <w:t xml:space="preserve">Instruct students to talk in pairs about how they </w:t>
      </w:r>
      <w:r>
        <w:t>applied a</w:t>
      </w:r>
      <w:r w:rsidRPr="00E51822">
        <w:t xml:space="preserve"> focus standard to their </w:t>
      </w:r>
      <w:r>
        <w:t xml:space="preserve">AIR </w:t>
      </w:r>
      <w:r w:rsidRPr="00E51822">
        <w:t>text. Lead a brief share out on the previous lesson’s AIR homework assignment.</w:t>
      </w:r>
      <w:r w:rsidR="00677FB3">
        <w:t xml:space="preserve"> </w:t>
      </w:r>
      <w:r w:rsidRPr="00E51822">
        <w:t>Select several students (or student pairs) to explain how they applied their focus standard to their AIR text.</w:t>
      </w:r>
    </w:p>
    <w:p w:rsidR="00AE7B50" w:rsidRPr="000B2D56" w:rsidRDefault="00AE7B50" w:rsidP="00AE7B50">
      <w:pPr>
        <w:pStyle w:val="SA"/>
      </w:pPr>
      <w:r>
        <w:t>Students (or student pairs) discuss and share how they applied their focus standard to their AIR text from the previous lesson’s homework.</w:t>
      </w:r>
    </w:p>
    <w:p w:rsidR="00AE7B50" w:rsidRDefault="00AE7B50" w:rsidP="00AE7B50">
      <w:pPr>
        <w:pStyle w:val="BR"/>
      </w:pPr>
    </w:p>
    <w:p w:rsidR="00AE3235" w:rsidRDefault="00BC73E5" w:rsidP="00BC73E5">
      <w:pPr>
        <w:pStyle w:val="TA"/>
      </w:pPr>
      <w:r>
        <w:t>Instruct students to take out their responses to Lesson 4’s homework assignment (</w:t>
      </w:r>
      <w:r w:rsidR="008E21B9">
        <w:t xml:space="preserve">Reread paragraph 9 of “Letter from Birmingham Jail.” Then, annotate and </w:t>
      </w:r>
      <w:r w:rsidR="008F0C56">
        <w:t>notice</w:t>
      </w:r>
      <w:r w:rsidR="008E21B9">
        <w:t xml:space="preserve"> the number of times King uses the word “tension” and consider the different kinds of tension King describes</w:t>
      </w:r>
      <w:r w:rsidR="004960D4">
        <w:t>.</w:t>
      </w:r>
      <w:r>
        <w:t>)</w:t>
      </w:r>
      <w:r w:rsidR="00E60EEE">
        <w:t>.</w:t>
      </w:r>
      <w:r w:rsidR="008B6FF1">
        <w:t xml:space="preserve"> Lead a brief whole-</w:t>
      </w:r>
      <w:r w:rsidR="00AE3235">
        <w:t>class discussion in response to the following questions:</w:t>
      </w:r>
    </w:p>
    <w:p w:rsidR="00DE4B8E" w:rsidRDefault="00AE3235">
      <w:pPr>
        <w:pStyle w:val="Q"/>
      </w:pPr>
      <w:r>
        <w:t>How many times does King use the word “tension” in paragraph 9?</w:t>
      </w:r>
    </w:p>
    <w:p w:rsidR="00DE4B8E" w:rsidRDefault="00AE3235">
      <w:pPr>
        <w:pStyle w:val="SR"/>
      </w:pPr>
      <w:r>
        <w:t>King uses “tension” seven times in paragraph 9.</w:t>
      </w:r>
    </w:p>
    <w:p w:rsidR="00DE4B8E" w:rsidRDefault="00AE3235">
      <w:pPr>
        <w:pStyle w:val="Q"/>
      </w:pPr>
      <w:r>
        <w:t>What are the different ways in which King uses the word “tension” in paragraph 9?</w:t>
      </w:r>
    </w:p>
    <w:p w:rsidR="00BC73E5" w:rsidRDefault="00BC73E5" w:rsidP="00BC73E5">
      <w:pPr>
        <w:pStyle w:val="SR"/>
      </w:pPr>
      <w:r>
        <w:t>Students responses may include:</w:t>
      </w:r>
    </w:p>
    <w:p w:rsidR="003C578A" w:rsidRDefault="0042789F" w:rsidP="003C578A">
      <w:pPr>
        <w:pStyle w:val="SASRBullet"/>
      </w:pPr>
      <w:r>
        <w:t xml:space="preserve">King changes </w:t>
      </w:r>
      <w:r w:rsidR="003C578A">
        <w:t xml:space="preserve">the </w:t>
      </w:r>
      <w:r w:rsidR="00377E43">
        <w:t xml:space="preserve">word </w:t>
      </w:r>
      <w:r w:rsidR="003C578A">
        <w:t xml:space="preserve">from </w:t>
      </w:r>
      <w:r>
        <w:t xml:space="preserve">something </w:t>
      </w:r>
      <w:r w:rsidR="003C578A">
        <w:t>negative</w:t>
      </w:r>
      <w:r>
        <w:t>, or “shocking,”</w:t>
      </w:r>
      <w:r w:rsidR="003C578A">
        <w:t xml:space="preserve"> to</w:t>
      </w:r>
      <w:r>
        <w:t xml:space="preserve"> something</w:t>
      </w:r>
      <w:r w:rsidR="003C578A">
        <w:t xml:space="preserve"> positive</w:t>
      </w:r>
      <w:r>
        <w:t xml:space="preserve"> (par. 9)</w:t>
      </w:r>
      <w:r w:rsidR="003C578A">
        <w:t>.</w:t>
      </w:r>
    </w:p>
    <w:p w:rsidR="003C578A" w:rsidRDefault="0042789F" w:rsidP="003C578A">
      <w:pPr>
        <w:pStyle w:val="SASRBullet"/>
      </w:pPr>
      <w:r>
        <w:t xml:space="preserve">King shows the difference between </w:t>
      </w:r>
      <w:r w:rsidR="003C578A">
        <w:t xml:space="preserve">“violent tension” </w:t>
      </w:r>
      <w:r w:rsidR="003C50CA">
        <w:t xml:space="preserve">and </w:t>
      </w:r>
      <w:r w:rsidR="003C578A">
        <w:t>“creative tension”</w:t>
      </w:r>
      <w:r w:rsidR="00B7736C">
        <w:t xml:space="preserve"> (par. 9).</w:t>
      </w:r>
    </w:p>
    <w:p w:rsidR="003C578A" w:rsidRDefault="0042789F" w:rsidP="003C578A">
      <w:pPr>
        <w:pStyle w:val="SASRBullet"/>
      </w:pPr>
      <w:r>
        <w:t xml:space="preserve">King compares </w:t>
      </w:r>
      <w:r w:rsidR="003C578A">
        <w:t>the tension required for society to improve to Socrates</w:t>
      </w:r>
      <w:r w:rsidR="00520E83">
        <w:t>’s</w:t>
      </w:r>
      <w:r w:rsidR="003C578A">
        <w:t xml:space="preserve"> belief that mental tension was essential to access the truth.</w:t>
      </w:r>
    </w:p>
    <w:p w:rsidR="00D81050" w:rsidRDefault="00390204" w:rsidP="00D81050">
      <w:pPr>
        <w:pStyle w:val="IN"/>
      </w:pPr>
      <w:r>
        <w:t xml:space="preserve">Consider providing the word </w:t>
      </w:r>
      <w:r>
        <w:rPr>
          <w:i/>
        </w:rPr>
        <w:t xml:space="preserve">connotation </w:t>
      </w:r>
      <w:r>
        <w:t>for students to use to discuss how King is using “tension” here.</w:t>
      </w:r>
      <w:r w:rsidR="00A53B79">
        <w:rPr>
          <w:b/>
        </w:rPr>
        <w:t xml:space="preserve"> </w:t>
      </w:r>
      <w:r w:rsidR="00A53B79">
        <w:t xml:space="preserve">If students are unfamiliar with the meaning of </w:t>
      </w:r>
      <w:r w:rsidR="00A53B79">
        <w:rPr>
          <w:i/>
        </w:rPr>
        <w:t>connotation</w:t>
      </w:r>
      <w:r w:rsidR="00A53B79">
        <w:t>, explain that</w:t>
      </w:r>
      <w:r w:rsidR="003C50CA">
        <w:t xml:space="preserve"> a</w:t>
      </w:r>
      <w:r w:rsidR="00A53B79">
        <w:t xml:space="preserve"> </w:t>
      </w:r>
      <w:r w:rsidR="00A53B79">
        <w:rPr>
          <w:i/>
        </w:rPr>
        <w:t>connotation</w:t>
      </w:r>
      <w:r w:rsidR="00A53B79">
        <w:t xml:space="preserve"> </w:t>
      </w:r>
      <w:r w:rsidR="003C50CA">
        <w:t xml:space="preserve">is </w:t>
      </w:r>
      <w:r w:rsidR="00A53B79">
        <w:t>“</w:t>
      </w:r>
      <w:r w:rsidR="00A53B79" w:rsidRPr="00BE16EA">
        <w:t>an idea or quality that a word makes you think about in addition to its meaning</w:t>
      </w:r>
      <w:r w:rsidR="00A53B79">
        <w:t xml:space="preserve">.” </w:t>
      </w:r>
    </w:p>
    <w:p w:rsidR="00D81050" w:rsidRPr="003C50CA" w:rsidRDefault="00A53B79" w:rsidP="00D81050">
      <w:pPr>
        <w:pStyle w:val="SASRBullet"/>
        <w:rPr>
          <w:color w:val="4F81BD" w:themeColor="accent1"/>
        </w:rPr>
      </w:pPr>
      <w:r w:rsidRPr="003C50CA">
        <w:rPr>
          <w:color w:val="4F81BD" w:themeColor="accent1"/>
        </w:rPr>
        <w:t xml:space="preserve">For example, in paragraph 6 King uses the </w:t>
      </w:r>
      <w:r w:rsidR="003C50CA">
        <w:rPr>
          <w:color w:val="4F81BD" w:themeColor="accent1"/>
        </w:rPr>
        <w:t xml:space="preserve">following </w:t>
      </w:r>
      <w:r w:rsidRPr="003C50CA">
        <w:rPr>
          <w:color w:val="4F81BD" w:themeColor="accent1"/>
        </w:rPr>
        <w:t xml:space="preserve">words with negative </w:t>
      </w:r>
      <w:r w:rsidRPr="008B6FF1">
        <w:rPr>
          <w:i/>
          <w:color w:val="4F81BD" w:themeColor="accent1"/>
        </w:rPr>
        <w:t xml:space="preserve">connotations </w:t>
      </w:r>
      <w:r w:rsidRPr="003C50CA">
        <w:rPr>
          <w:color w:val="4F81BD" w:themeColor="accent1"/>
        </w:rPr>
        <w:t>to emphasize the injustices in Birmingham: “ugly,” “brutality,” “notorious,” and “brutal</w:t>
      </w:r>
      <w:r w:rsidR="003C50CA">
        <w:rPr>
          <w:color w:val="4F81BD" w:themeColor="accent1"/>
        </w:rPr>
        <w:t>.</w:t>
      </w:r>
      <w:r w:rsidRPr="003C50CA">
        <w:rPr>
          <w:color w:val="4F81BD" w:themeColor="accent1"/>
        </w:rPr>
        <w:t xml:space="preserve">”  </w:t>
      </w:r>
    </w:p>
    <w:p w:rsidR="000B2D56" w:rsidRDefault="000B2D56" w:rsidP="00CE2836">
      <w:pPr>
        <w:pStyle w:val="LearningSequenceHeader"/>
      </w:pPr>
      <w:r w:rsidRPr="000B2D56">
        <w:t xml:space="preserve">Activity </w:t>
      </w:r>
      <w:r>
        <w:t>3</w:t>
      </w:r>
      <w:r w:rsidRPr="000B2D56">
        <w:t xml:space="preserve">: </w:t>
      </w:r>
      <w:r w:rsidR="00063B03">
        <w:t>Masterful Reading</w:t>
      </w:r>
      <w:r w:rsidR="00063B03">
        <w:tab/>
      </w:r>
      <w:r w:rsidR="00BB0B8D">
        <w:t>1</w:t>
      </w:r>
      <w:r w:rsidR="00063B03">
        <w:t>5</w:t>
      </w:r>
      <w:r w:rsidRPr="000B2D56">
        <w:t>%</w:t>
      </w:r>
    </w:p>
    <w:p w:rsidR="00063B03" w:rsidRDefault="00063B03" w:rsidP="00063B03">
      <w:pPr>
        <w:pStyle w:val="TA"/>
      </w:pPr>
      <w:r>
        <w:t xml:space="preserve">Have students listen to a </w:t>
      </w:r>
      <w:r w:rsidR="002C586F">
        <w:t>M</w:t>
      </w:r>
      <w:r>
        <w:t xml:space="preserve">asterful </w:t>
      </w:r>
      <w:r w:rsidR="002C586F">
        <w:t>R</w:t>
      </w:r>
      <w:r>
        <w:t>eading of paragraphs 10</w:t>
      </w:r>
      <w:r w:rsidR="00041CFB">
        <w:t>–</w:t>
      </w:r>
      <w:r>
        <w:t>11 of “Letter from Birmingham Jail</w:t>
      </w:r>
      <w:r w:rsidR="00041CFB">
        <w:t>.</w:t>
      </w:r>
      <w:r>
        <w:t xml:space="preserve">” </w:t>
      </w:r>
      <w:r w:rsidR="00D058F1">
        <w:t xml:space="preserve">Instruct </w:t>
      </w:r>
      <w:r w:rsidR="004E0D31">
        <w:t xml:space="preserve">students to </w:t>
      </w:r>
      <w:r w:rsidR="00223DC1">
        <w:t xml:space="preserve">follow along and </w:t>
      </w:r>
      <w:r w:rsidR="004E0D31">
        <w:t>listen for any claims King makes in these paragraphs.</w:t>
      </w:r>
    </w:p>
    <w:p w:rsidR="00157B28" w:rsidRDefault="004E0D31">
      <w:pPr>
        <w:pStyle w:val="SA"/>
      </w:pPr>
      <w:r>
        <w:t>Students follow along, reading silently.</w:t>
      </w:r>
    </w:p>
    <w:p w:rsidR="00707670" w:rsidRDefault="00707670" w:rsidP="00707670">
      <w:pPr>
        <w:pStyle w:val="LearningSequenceHeader"/>
      </w:pPr>
      <w:r>
        <w:t>Activity 4</w:t>
      </w:r>
      <w:r w:rsidRPr="00707670">
        <w:t xml:space="preserve">: </w:t>
      </w:r>
      <w:r w:rsidR="00563A9F">
        <w:t>Reading and Discussion</w:t>
      </w:r>
      <w:r w:rsidR="00563A9F">
        <w:tab/>
      </w:r>
      <w:r w:rsidR="00E003CD">
        <w:t>45</w:t>
      </w:r>
      <w:r w:rsidRPr="00707670">
        <w:t>%</w:t>
      </w:r>
    </w:p>
    <w:p w:rsidR="0017727F" w:rsidRDefault="0017727F" w:rsidP="00707670">
      <w:pPr>
        <w:pStyle w:val="TA"/>
      </w:pPr>
      <w:r>
        <w:t xml:space="preserve">Explain to students throughout the discussion, they will stop and take notes about what has been discussed in preparation for </w:t>
      </w:r>
      <w:r w:rsidR="005C1B79">
        <w:t xml:space="preserve">the </w:t>
      </w:r>
      <w:r>
        <w:t>Quick Write assessment. Instruct students to take notes in their notebooks or add to their text annotation.</w:t>
      </w:r>
    </w:p>
    <w:p w:rsidR="0017727F" w:rsidRDefault="0017727F" w:rsidP="0017727F">
      <w:pPr>
        <w:pStyle w:val="SA"/>
      </w:pPr>
      <w:r>
        <w:t>Students listen.</w:t>
      </w:r>
    </w:p>
    <w:p w:rsidR="00241E0F" w:rsidRDefault="00E7093F" w:rsidP="00241E0F">
      <w:pPr>
        <w:pStyle w:val="TA"/>
      </w:pPr>
      <w:r>
        <w:t>Distribute the Argument Delineation Tool. In</w:t>
      </w:r>
      <w:r w:rsidR="00FC5D7E">
        <w:t>struct</w:t>
      </w:r>
      <w:r>
        <w:t xml:space="preserve"> students </w:t>
      </w:r>
      <w:r w:rsidR="004C0D40">
        <w:t>to use</w:t>
      </w:r>
      <w:r>
        <w:t xml:space="preserve"> the tool throughout today’s lesson.</w:t>
      </w:r>
      <w:r w:rsidR="00DF212D">
        <w:t xml:space="preserve"> </w:t>
      </w:r>
      <w:r w:rsidR="00152E5A">
        <w:t>Instruct</w:t>
      </w:r>
      <w:r w:rsidR="00377E43">
        <w:t xml:space="preserve"> students to </w:t>
      </w:r>
      <w:r w:rsidR="00152E5A">
        <w:t xml:space="preserve">form </w:t>
      </w:r>
      <w:r w:rsidR="00377E43">
        <w:t>small groups</w:t>
      </w:r>
      <w:r w:rsidR="00152E5A">
        <w:t>.</w:t>
      </w:r>
      <w:r w:rsidR="00377E43">
        <w:t xml:space="preserve"> </w:t>
      </w:r>
      <w:r w:rsidR="00E01E67">
        <w:t xml:space="preserve">Post or project </w:t>
      </w:r>
      <w:r w:rsidR="00152E5A">
        <w:t>each set of</w:t>
      </w:r>
      <w:r w:rsidR="00E01E67">
        <w:t xml:space="preserve"> questions </w:t>
      </w:r>
      <w:r w:rsidR="00152E5A">
        <w:t xml:space="preserve">below </w:t>
      </w:r>
      <w:r w:rsidR="00E01E67">
        <w:t xml:space="preserve">for students to </w:t>
      </w:r>
      <w:r w:rsidR="00152E5A">
        <w:t xml:space="preserve">discuss. </w:t>
      </w:r>
    </w:p>
    <w:p w:rsidR="00152E5A" w:rsidRDefault="00152E5A" w:rsidP="00241E0F">
      <w:pPr>
        <w:pStyle w:val="TA"/>
      </w:pPr>
      <w:r>
        <w:t>Instruct student groups to reread paragraph 10 and answer the following questions in groups before sharing out with the class.</w:t>
      </w:r>
    </w:p>
    <w:p w:rsidR="00743357" w:rsidRDefault="00743357" w:rsidP="00F95CDE">
      <w:pPr>
        <w:pStyle w:val="Q"/>
      </w:pPr>
      <w:r>
        <w:t>To what recent event in Birmingham does “new administration” refer?</w:t>
      </w:r>
    </w:p>
    <w:p w:rsidR="003A37AA" w:rsidRDefault="00743357">
      <w:pPr>
        <w:pStyle w:val="SR"/>
      </w:pPr>
      <w:r>
        <w:t xml:space="preserve">It refers to the election of Mr. Boutwell. </w:t>
      </w:r>
      <w:r w:rsidR="00455761">
        <w:t>“</w:t>
      </w:r>
      <w:r>
        <w:t>New administration</w:t>
      </w:r>
      <w:r w:rsidR="00455761">
        <w:t>”</w:t>
      </w:r>
      <w:r>
        <w:t xml:space="preserve"> </w:t>
      </w:r>
      <w:r w:rsidR="00455761">
        <w:t xml:space="preserve">(par. 10) </w:t>
      </w:r>
      <w:r>
        <w:t>means new political leadership.</w:t>
      </w:r>
    </w:p>
    <w:p w:rsidR="00F95CDE" w:rsidRDefault="00F95CDE" w:rsidP="00F95CDE">
      <w:pPr>
        <w:pStyle w:val="Q"/>
      </w:pPr>
      <w:r>
        <w:t>How do the first three sentences of paragraph 10 impact your understanding of King’s purpose?</w:t>
      </w:r>
    </w:p>
    <w:p w:rsidR="00F95CDE" w:rsidRDefault="00F95CDE" w:rsidP="00F95CDE">
      <w:pPr>
        <w:pStyle w:val="SR"/>
      </w:pPr>
      <w:r>
        <w:t>King’s purpose in this paragraph is to explain why</w:t>
      </w:r>
      <w:r w:rsidR="00AA1F53">
        <w:t xml:space="preserve"> he </w:t>
      </w:r>
      <w:r w:rsidR="00377E43">
        <w:t>and his associates</w:t>
      </w:r>
      <w:r w:rsidR="00AA1F53">
        <w:t>’</w:t>
      </w:r>
      <w:r w:rsidR="00BD2C12">
        <w:t xml:space="preserve"> actions </w:t>
      </w:r>
      <w:r w:rsidR="00377E43">
        <w:t xml:space="preserve">are not </w:t>
      </w:r>
      <w:r w:rsidR="00BD2C12">
        <w:t>“untimely,</w:t>
      </w:r>
      <w:r>
        <w:t>”</w:t>
      </w:r>
      <w:r w:rsidR="00BD2C12">
        <w:t xml:space="preserve"> and why they cannot wait for “the new administration to act”</w:t>
      </w:r>
      <w:r w:rsidR="00B7736C">
        <w:t xml:space="preserve"> (par. 10)</w:t>
      </w:r>
      <w:r w:rsidR="00763608">
        <w:t>.</w:t>
      </w:r>
    </w:p>
    <w:p w:rsidR="00343123" w:rsidRDefault="00532296">
      <w:pPr>
        <w:pStyle w:val="IN"/>
      </w:pPr>
      <w:r>
        <w:t>Though RI.9-10.6 is not the focus of this lesson, identifying King’s purpose will help the students identify his central claim later on in the lesson.</w:t>
      </w:r>
    </w:p>
    <w:p w:rsidR="00FB1E08" w:rsidRDefault="0040669F" w:rsidP="00FB1E08">
      <w:pPr>
        <w:pStyle w:val="Q"/>
      </w:pPr>
      <w:r>
        <w:t xml:space="preserve">How does King’s description of Mr. Boutwell as a “segregationist” influence your understanding of the </w:t>
      </w:r>
      <w:r w:rsidR="00AC4A7A">
        <w:t>phrase</w:t>
      </w:r>
      <w:r>
        <w:t xml:space="preserve"> </w:t>
      </w:r>
      <w:r w:rsidRPr="00C503F3">
        <w:rPr>
          <w:i/>
        </w:rPr>
        <w:t>status quo</w:t>
      </w:r>
      <w:r w:rsidR="00FB1E08">
        <w:t>?</w:t>
      </w:r>
    </w:p>
    <w:p w:rsidR="00FB1E08" w:rsidRDefault="00184E4D" w:rsidP="00FB1E08">
      <w:pPr>
        <w:pStyle w:val="SR"/>
      </w:pPr>
      <w:r>
        <w:t xml:space="preserve">Because segregation </w:t>
      </w:r>
      <w:r w:rsidR="00AC4A7A">
        <w:t xml:space="preserve">exists in </w:t>
      </w:r>
      <w:r w:rsidR="002326E5">
        <w:t>the context of this</w:t>
      </w:r>
      <w:r w:rsidR="00AC4A7A">
        <w:t xml:space="preserve"> letter</w:t>
      </w:r>
      <w:r>
        <w:t xml:space="preserve">, </w:t>
      </w:r>
      <w:r w:rsidR="00421A2E" w:rsidRPr="00421A2E">
        <w:t xml:space="preserve">the </w:t>
      </w:r>
      <w:r w:rsidRPr="00C35E26">
        <w:rPr>
          <w:i/>
        </w:rPr>
        <w:t>status quo</w:t>
      </w:r>
      <w:r>
        <w:t xml:space="preserve"> must mean the current state of affairs, or the way things are</w:t>
      </w:r>
      <w:r w:rsidR="00FB1E08">
        <w:t>.</w:t>
      </w:r>
    </w:p>
    <w:p w:rsidR="00F26CE6" w:rsidRDefault="00F26CE6" w:rsidP="00F26CE6">
      <w:pPr>
        <w:pStyle w:val="SA"/>
      </w:pPr>
      <w:r>
        <w:t xml:space="preserve">Students write the definition of </w:t>
      </w:r>
      <w:r>
        <w:rPr>
          <w:i/>
        </w:rPr>
        <w:t>status quo</w:t>
      </w:r>
      <w:r>
        <w:t xml:space="preserve"> on their copy of the text or in a vocabulary journal.</w:t>
      </w:r>
    </w:p>
    <w:p w:rsidR="00D81050" w:rsidRDefault="00C25D4D" w:rsidP="00D81050">
      <w:pPr>
        <w:pStyle w:val="IN"/>
      </w:pPr>
      <w:r>
        <w:t>Consider drawing students’ attention to their work with L.9-10.4.a as they use context clues to determine the meaning of a word.</w:t>
      </w:r>
    </w:p>
    <w:p w:rsidR="004E6ACD" w:rsidRDefault="00184E4D">
      <w:pPr>
        <w:pStyle w:val="Q"/>
      </w:pPr>
      <w:r>
        <w:t>What does King mean by “bring the millennium to Birmingham”?</w:t>
      </w:r>
      <w:r w:rsidR="00311B37">
        <w:t xml:space="preserve"> What is the impact of </w:t>
      </w:r>
      <w:r w:rsidR="00377E43">
        <w:t>the</w:t>
      </w:r>
      <w:r w:rsidR="00311B37">
        <w:t xml:space="preserve"> word </w:t>
      </w:r>
      <w:r w:rsidR="00C25D4D">
        <w:t>“</w:t>
      </w:r>
      <w:r w:rsidR="00377E43">
        <w:t>millennium”</w:t>
      </w:r>
      <w:r w:rsidR="00311B37">
        <w:t>?</w:t>
      </w:r>
    </w:p>
    <w:p w:rsidR="004E6ACD" w:rsidRDefault="00756B98">
      <w:pPr>
        <w:pStyle w:val="SR"/>
      </w:pPr>
      <w:r>
        <w:t>He means desegregating Birmingham</w:t>
      </w:r>
      <w:r w:rsidR="00311B37">
        <w:t xml:space="preserve">. </w:t>
      </w:r>
      <w:r w:rsidR="002326E5">
        <w:t>By using the word “millennium,” King</w:t>
      </w:r>
      <w:r w:rsidR="00311B37">
        <w:t xml:space="preserve"> implies t</w:t>
      </w:r>
      <w:r w:rsidR="008E6106">
        <w:t>hat desegregation is long overdue</w:t>
      </w:r>
      <w:r w:rsidR="00311B37">
        <w:t>.</w:t>
      </w:r>
      <w:r w:rsidR="00667B94">
        <w:t xml:space="preserve"> His use of “millennium” implies </w:t>
      </w:r>
      <w:r w:rsidR="00E92C31">
        <w:t xml:space="preserve">that supporters of segregation are living in the dark ages—like people did 1000 years ago </w:t>
      </w:r>
      <w:r w:rsidR="003B447A">
        <w:t>(</w:t>
      </w:r>
      <w:r w:rsidR="00F22B9E">
        <w:t xml:space="preserve">par. </w:t>
      </w:r>
      <w:r w:rsidR="003B447A">
        <w:t>10)</w:t>
      </w:r>
      <w:r w:rsidR="00667B94">
        <w:t xml:space="preserve">. </w:t>
      </w:r>
    </w:p>
    <w:p w:rsidR="00377E43" w:rsidRDefault="000303EE">
      <w:pPr>
        <w:pStyle w:val="IN"/>
      </w:pPr>
      <w:r>
        <w:rPr>
          <w:b/>
        </w:rPr>
        <w:t xml:space="preserve">Differentiation Consideration: </w:t>
      </w:r>
      <w:r w:rsidR="00377E43">
        <w:t>If students struggle with this question, consider asking</w:t>
      </w:r>
      <w:r>
        <w:t xml:space="preserve"> the following question</w:t>
      </w:r>
      <w:r w:rsidR="007C65B5">
        <w:t xml:space="preserve"> first</w:t>
      </w:r>
      <w:r w:rsidR="00377E43">
        <w:t>.</w:t>
      </w:r>
      <w:r>
        <w:t xml:space="preserve"> </w:t>
      </w:r>
    </w:p>
    <w:p w:rsidR="00343123" w:rsidRDefault="00421A2E">
      <w:pPr>
        <w:pStyle w:val="Q"/>
        <w:ind w:firstLine="360"/>
        <w:rPr>
          <w:color w:val="4F81BD" w:themeColor="accent1"/>
        </w:rPr>
      </w:pPr>
      <w:r w:rsidRPr="00421A2E">
        <w:rPr>
          <w:color w:val="4F81BD" w:themeColor="accent1"/>
        </w:rPr>
        <w:t xml:space="preserve">What </w:t>
      </w:r>
      <w:r w:rsidR="004319C9" w:rsidRPr="004319C9">
        <w:rPr>
          <w:color w:val="4F81BD" w:themeColor="accent1"/>
        </w:rPr>
        <w:t>does the phrase “bring the new millennium” have in common with the word “untimely”?</w:t>
      </w:r>
    </w:p>
    <w:p w:rsidR="00377E43" w:rsidRPr="00377E43" w:rsidRDefault="004319C9" w:rsidP="00377E43">
      <w:pPr>
        <w:pStyle w:val="SR"/>
        <w:rPr>
          <w:color w:val="4F81BD" w:themeColor="accent1"/>
        </w:rPr>
      </w:pPr>
      <w:r w:rsidRPr="004319C9">
        <w:rPr>
          <w:color w:val="4F81BD" w:themeColor="accent1"/>
        </w:rPr>
        <w:t>Both the phrase</w:t>
      </w:r>
      <w:r w:rsidR="00152E5A">
        <w:rPr>
          <w:color w:val="4F81BD" w:themeColor="accent1"/>
        </w:rPr>
        <w:t>,</w:t>
      </w:r>
      <w:r w:rsidRPr="004319C9">
        <w:rPr>
          <w:color w:val="4F81BD" w:themeColor="accent1"/>
        </w:rPr>
        <w:t xml:space="preserve"> “bring the new millennium” and </w:t>
      </w:r>
      <w:r w:rsidR="00F827B8">
        <w:rPr>
          <w:color w:val="4F81BD" w:themeColor="accent1"/>
        </w:rPr>
        <w:t xml:space="preserve">the word </w:t>
      </w:r>
      <w:r w:rsidRPr="004319C9">
        <w:rPr>
          <w:color w:val="4F81BD" w:themeColor="accent1"/>
        </w:rPr>
        <w:t>“untimely” have to do with time</w:t>
      </w:r>
      <w:r w:rsidR="00B7736C">
        <w:rPr>
          <w:color w:val="4F81BD" w:themeColor="accent1"/>
        </w:rPr>
        <w:t xml:space="preserve"> (par. 10).</w:t>
      </w:r>
    </w:p>
    <w:p w:rsidR="00AB5308" w:rsidRDefault="00800C6A" w:rsidP="00AB5308">
      <w:pPr>
        <w:pStyle w:val="Q"/>
      </w:pPr>
      <w:r>
        <w:t>Given King’s purpose and his word choices, what can you infer is his central claim</w:t>
      </w:r>
      <w:r w:rsidR="008D4620">
        <w:t xml:space="preserve"> in paragraph 10</w:t>
      </w:r>
      <w:r w:rsidR="00AB5308">
        <w:t>?</w:t>
      </w:r>
    </w:p>
    <w:p w:rsidR="00AB5308" w:rsidRDefault="00532296" w:rsidP="00AB5308">
      <w:pPr>
        <w:pStyle w:val="SR"/>
      </w:pPr>
      <w:r>
        <w:t>King’s central claim</w:t>
      </w:r>
      <w:r w:rsidR="00800C6A">
        <w:t xml:space="preserve"> is that</w:t>
      </w:r>
      <w:r>
        <w:t xml:space="preserve"> African Americans cannot wait for their civil rights </w:t>
      </w:r>
      <w:r w:rsidR="00377E43">
        <w:t>and must</w:t>
      </w:r>
      <w:r>
        <w:t xml:space="preserve"> “prod” </w:t>
      </w:r>
      <w:r w:rsidR="00377E43">
        <w:t xml:space="preserve">the white leaders </w:t>
      </w:r>
      <w:r w:rsidR="00F827B8">
        <w:t xml:space="preserve">in order </w:t>
      </w:r>
      <w:r w:rsidR="00377E43">
        <w:t xml:space="preserve">to </w:t>
      </w:r>
      <w:r w:rsidR="00F827B8">
        <w:t xml:space="preserve">gain </w:t>
      </w:r>
      <w:r w:rsidR="00800C6A">
        <w:t>their rights</w:t>
      </w:r>
      <w:r w:rsidR="00B7736C">
        <w:t xml:space="preserve"> (par. 10)</w:t>
      </w:r>
      <w:r w:rsidR="00800C6A">
        <w:t>.</w:t>
      </w:r>
    </w:p>
    <w:p w:rsidR="00343123" w:rsidRDefault="00AB5308">
      <w:pPr>
        <w:pStyle w:val="IN"/>
      </w:pPr>
      <w:r>
        <w:t xml:space="preserve">Remind students that a central claim is an author’s main point about an issue in an argument. </w:t>
      </w:r>
    </w:p>
    <w:p w:rsidR="003A37AA" w:rsidRDefault="00D32E51">
      <w:pPr>
        <w:pStyle w:val="Q"/>
      </w:pPr>
      <w:r>
        <w:t>What makes history a “long tragic story”? What is the impact of King’s use of “tragic” in this sentence?</w:t>
      </w:r>
    </w:p>
    <w:p w:rsidR="003A37AA" w:rsidRDefault="00D32E51">
      <w:pPr>
        <w:pStyle w:val="SR"/>
      </w:pPr>
      <w:r>
        <w:t xml:space="preserve">History shows that people in power usually do not share or give up any of their power without conflict or war. King’s use of “tragic” </w:t>
      </w:r>
      <w:r w:rsidR="00455761">
        <w:t xml:space="preserve">(par. 10) </w:t>
      </w:r>
      <w:r>
        <w:t>to refer to conflicts in history shows his regret that negotiation was ineffective in Birmingham and that direction acts became necessary.</w:t>
      </w:r>
    </w:p>
    <w:p w:rsidR="003A37AA" w:rsidRDefault="00D32E51">
      <w:pPr>
        <w:pStyle w:val="Q"/>
      </w:pPr>
      <w:r>
        <w:t xml:space="preserve">Identify King’s supporting claim in paragraph 10. What evidence does King use to support </w:t>
      </w:r>
      <w:r w:rsidR="0011756A">
        <w:t>t</w:t>
      </w:r>
      <w:r>
        <w:t>his claim? How is this evidence connect</w:t>
      </w:r>
      <w:r w:rsidR="006B3B61">
        <w:t>ed</w:t>
      </w:r>
      <w:r>
        <w:t xml:space="preserve"> to the claim?</w:t>
      </w:r>
    </w:p>
    <w:p w:rsidR="003A37AA" w:rsidRDefault="006B3B61">
      <w:pPr>
        <w:pStyle w:val="SR"/>
      </w:pPr>
      <w:r>
        <w:t>King’s supporting claim is “My friends, I must say to you that we have not made a single gain in civil rights without determined legal and nonviolent pressure”</w:t>
      </w:r>
      <w:r w:rsidR="00B7736C">
        <w:t xml:space="preserve"> (par. 10).</w:t>
      </w:r>
      <w:r>
        <w:t xml:space="preserve"> His evidence is the “long tragic story of history” and it connects to his claim by showing that privileged people are not likely to give up their privileges without some kind conflict</w:t>
      </w:r>
      <w:r w:rsidR="00B7736C">
        <w:t xml:space="preserve"> (par.10)</w:t>
      </w:r>
      <w:r>
        <w:t>.</w:t>
      </w:r>
    </w:p>
    <w:p w:rsidR="003A37AA" w:rsidRDefault="008029C9" w:rsidP="008029C9">
      <w:pPr>
        <w:pStyle w:val="IN"/>
      </w:pPr>
      <w:r>
        <w:t>Consider r</w:t>
      </w:r>
      <w:r w:rsidR="006B3B61">
        <w:t>emind</w:t>
      </w:r>
      <w:r>
        <w:t>ing</w:t>
      </w:r>
      <w:r w:rsidR="006B3B61">
        <w:t xml:space="preserve"> students that a supporting claim is a smaller, related point that reinforces or adv</w:t>
      </w:r>
      <w:r w:rsidR="00E31816">
        <w:t>ances the author’s central claim and that evidence is the topical, textual facts, events, and ideas from which the claims of an argument arise, and which are cited to support those claims.</w:t>
      </w:r>
    </w:p>
    <w:p w:rsidR="00343123" w:rsidRDefault="008457B0">
      <w:pPr>
        <w:pStyle w:val="Q"/>
      </w:pPr>
      <w:r>
        <w:t xml:space="preserve">What </w:t>
      </w:r>
      <w:r w:rsidR="00760BEA">
        <w:t>reasoning</w:t>
      </w:r>
      <w:r>
        <w:t xml:space="preserve"> does King use to</w:t>
      </w:r>
      <w:r w:rsidR="00BD2C12">
        <w:t xml:space="preserve"> enhance this supporting claim?</w:t>
      </w:r>
      <w:r w:rsidR="00800C6A">
        <w:t xml:space="preserve"> </w:t>
      </w:r>
      <w:r w:rsidR="00D32E51">
        <w:t>How does this reasoning support his claims in paragraph 10?</w:t>
      </w:r>
    </w:p>
    <w:p w:rsidR="00326DF6" w:rsidRDefault="00BD2C12" w:rsidP="00800C6A">
      <w:pPr>
        <w:pStyle w:val="SR"/>
      </w:pPr>
      <w:r>
        <w:t xml:space="preserve">King </w:t>
      </w:r>
      <w:r w:rsidR="00326DF6">
        <w:t>quotes</w:t>
      </w:r>
      <w:r>
        <w:t xml:space="preserve"> Reinhold Neibur, who believed that </w:t>
      </w:r>
      <w:r w:rsidR="00800C6A">
        <w:t>“</w:t>
      </w:r>
      <w:r>
        <w:t>groups are more immoral than individuals”</w:t>
      </w:r>
      <w:r w:rsidR="00B7736C">
        <w:t xml:space="preserve"> (par. 10)</w:t>
      </w:r>
      <w:r w:rsidR="00AE51CE">
        <w:t>.</w:t>
      </w:r>
      <w:r w:rsidR="00800C6A">
        <w:t xml:space="preserve"> </w:t>
      </w:r>
    </w:p>
    <w:p w:rsidR="00934F97" w:rsidRDefault="008029C9" w:rsidP="00FC5D7E">
      <w:pPr>
        <w:pStyle w:val="IN"/>
      </w:pPr>
      <w:r>
        <w:t>Consider r</w:t>
      </w:r>
      <w:r w:rsidR="00E31816">
        <w:t>emind</w:t>
      </w:r>
      <w:r>
        <w:t>ing</w:t>
      </w:r>
      <w:r w:rsidR="00E31816">
        <w:t xml:space="preserve"> students that </w:t>
      </w:r>
      <w:r w:rsidR="00D81050" w:rsidRPr="00D81050">
        <w:rPr>
          <w:i/>
        </w:rPr>
        <w:t>reasoning</w:t>
      </w:r>
      <w:r w:rsidR="00E31816">
        <w:t xml:space="preserve"> </w:t>
      </w:r>
      <w:r w:rsidR="00E6028D">
        <w:t xml:space="preserve">means </w:t>
      </w:r>
      <w:r w:rsidR="00AD1F2D">
        <w:t>“</w:t>
      </w:r>
      <w:r w:rsidR="00E31816">
        <w:t>the logical relationships among ideas, including relationships among claims and relationships across evidence.</w:t>
      </w:r>
      <w:r w:rsidR="00AD1F2D">
        <w:t>”</w:t>
      </w:r>
      <w:r w:rsidR="00934F97" w:rsidRPr="00934F97">
        <w:t xml:space="preserve"> </w:t>
      </w:r>
    </w:p>
    <w:p w:rsidR="007F75F7" w:rsidRDefault="00326DF6">
      <w:pPr>
        <w:pStyle w:val="IN"/>
      </w:pPr>
      <w:r>
        <w:rPr>
          <w:b/>
        </w:rPr>
        <w:t xml:space="preserve">Differentiation Consideration: </w:t>
      </w:r>
      <w:r w:rsidR="00BD2C12">
        <w:t>If students struggle</w:t>
      </w:r>
      <w:r w:rsidR="007F75F7">
        <w:t xml:space="preserve"> with this question, consider </w:t>
      </w:r>
      <w:r w:rsidR="00BD2C12">
        <w:t>inform</w:t>
      </w:r>
      <w:r w:rsidR="007F75F7">
        <w:t>ing</w:t>
      </w:r>
      <w:r w:rsidR="00BD2C12">
        <w:t xml:space="preserve"> them that Reinhold Neibur was a Christian theologian </w:t>
      </w:r>
      <w:r w:rsidR="007F75F7">
        <w:t xml:space="preserve">or thinker </w:t>
      </w:r>
      <w:r w:rsidR="00BD2C12">
        <w:t xml:space="preserve">well known at the time King was writing. </w:t>
      </w:r>
      <w:r w:rsidR="007F75F7">
        <w:t>Then a</w:t>
      </w:r>
      <w:r w:rsidR="00BD2C12">
        <w:t xml:space="preserve">sk the following question: </w:t>
      </w:r>
    </w:p>
    <w:p w:rsidR="00343123" w:rsidRDefault="004319C9">
      <w:pPr>
        <w:pStyle w:val="Q"/>
        <w:ind w:firstLine="360"/>
        <w:rPr>
          <w:color w:val="4F81BD" w:themeColor="accent1"/>
        </w:rPr>
      </w:pPr>
      <w:r w:rsidRPr="004319C9">
        <w:rPr>
          <w:color w:val="4F81BD" w:themeColor="accent1"/>
        </w:rPr>
        <w:t xml:space="preserve">How does Neibur’s reputation impact your understanding of this evidence?  </w:t>
      </w:r>
    </w:p>
    <w:p w:rsidR="007F75F7" w:rsidRPr="007F75F7" w:rsidRDefault="004319C9" w:rsidP="007F75F7">
      <w:pPr>
        <w:pStyle w:val="SR"/>
        <w:rPr>
          <w:color w:val="4F81BD" w:themeColor="accent1"/>
        </w:rPr>
      </w:pPr>
      <w:r w:rsidRPr="004319C9">
        <w:rPr>
          <w:color w:val="4F81BD" w:themeColor="accent1"/>
        </w:rPr>
        <w:t xml:space="preserve">The fact that Neibur was a well-known theologian makes this evidence more powerful, especially to the clergymen/addressees. </w:t>
      </w:r>
    </w:p>
    <w:p w:rsidR="00AB5308" w:rsidRDefault="00AB5308" w:rsidP="00AB5308">
      <w:pPr>
        <w:pStyle w:val="Q"/>
      </w:pPr>
      <w:r>
        <w:t xml:space="preserve">What evidence does King provide to explain why he believes </w:t>
      </w:r>
      <w:r w:rsidR="0011756A">
        <w:t>King and the clergymen</w:t>
      </w:r>
      <w:r>
        <w:t xml:space="preserve"> “will be sadly mistaken” if they expect Mr. Boutwell “to bring the millennium to Birmingham”?</w:t>
      </w:r>
    </w:p>
    <w:p w:rsidR="00AB5308" w:rsidRDefault="00AB5308" w:rsidP="00AB5308">
      <w:pPr>
        <w:pStyle w:val="SR"/>
      </w:pPr>
      <w:r>
        <w:t>Student responses should include:</w:t>
      </w:r>
    </w:p>
    <w:p w:rsidR="00343123" w:rsidRDefault="00AB5308">
      <w:pPr>
        <w:pStyle w:val="SASRBullet"/>
      </w:pPr>
      <w:r>
        <w:t>Mr. Boutwell is a segregationist who is “dedicated to the task of maintaining the status quo,” meaning he has no inner initiative to repeal segregation which makes him unlikely to take action on behalf of African Americans</w:t>
      </w:r>
      <w:r w:rsidR="00AE51CE">
        <w:t xml:space="preserve"> (par. 10). </w:t>
      </w:r>
    </w:p>
    <w:p w:rsidR="00343123" w:rsidRDefault="00AB5308">
      <w:pPr>
        <w:pStyle w:val="SASRBullet"/>
      </w:pPr>
      <w:r>
        <w:t>The African Americans in Birmingham have not made any advances in “civil rights without determined legal and nonviolent pressure</w:t>
      </w:r>
      <w:r w:rsidR="00F96E22">
        <w:t>,</w:t>
      </w:r>
      <w:r>
        <w:t>”</w:t>
      </w:r>
      <w:r w:rsidR="00F96E22">
        <w:t xml:space="preserve"> so they cannot expect </w:t>
      </w:r>
      <w:r w:rsidR="00375388">
        <w:t>Mr. Boutwell to change on his own</w:t>
      </w:r>
      <w:r w:rsidR="00AE51CE">
        <w:t xml:space="preserve"> (par. 10)</w:t>
      </w:r>
      <w:r w:rsidR="00375388">
        <w:t>.</w:t>
      </w:r>
    </w:p>
    <w:p w:rsidR="00343123" w:rsidRDefault="00800C6A">
      <w:pPr>
        <w:pStyle w:val="Q"/>
      </w:pPr>
      <w:r>
        <w:t xml:space="preserve">How does </w:t>
      </w:r>
      <w:r w:rsidR="00112F20">
        <w:t>this</w:t>
      </w:r>
      <w:r>
        <w:t xml:space="preserve"> evidence support </w:t>
      </w:r>
      <w:r w:rsidR="0011756A">
        <w:t xml:space="preserve">King’s </w:t>
      </w:r>
      <w:r>
        <w:t>central claim in paragraph 10?</w:t>
      </w:r>
    </w:p>
    <w:p w:rsidR="00800C6A" w:rsidRDefault="00800C6A" w:rsidP="00800C6A">
      <w:pPr>
        <w:pStyle w:val="SR"/>
      </w:pPr>
      <w:r>
        <w:t>It supports his central claim by showing why Mr. Boutwell cannot be expected to desegregate Birmingham without “pressure,” and why African Americans cannot expect whites to change which means they must engage in “nonviolent action” now</w:t>
      </w:r>
      <w:r w:rsidR="00EC1C61">
        <w:t xml:space="preserve"> (par. 10)</w:t>
      </w:r>
      <w:r>
        <w:t>.</w:t>
      </w:r>
    </w:p>
    <w:p w:rsidR="00DE4B8E" w:rsidRDefault="00454C03">
      <w:pPr>
        <w:pStyle w:val="TA"/>
      </w:pPr>
      <w:r>
        <w:t>Lead a brief</w:t>
      </w:r>
      <w:r w:rsidR="00112F20">
        <w:t>, whole-</w:t>
      </w:r>
      <w:r>
        <w:t xml:space="preserve">class discussion about the relationship between King’s claims and </w:t>
      </w:r>
      <w:r w:rsidR="003E0B3A">
        <w:t>evidence</w:t>
      </w:r>
      <w:r>
        <w:t xml:space="preserve"> in paragraph 10.</w:t>
      </w:r>
      <w:r w:rsidR="00112F20">
        <w:t xml:space="preserve"> </w:t>
      </w:r>
      <w:r w:rsidR="00903FF1">
        <w:t>Remind students to use the Argument Delineation Tool to record the claims and evidence discussed in paragraph 10.</w:t>
      </w:r>
      <w:r w:rsidR="00112F20">
        <w:t xml:space="preserve"> </w:t>
      </w:r>
    </w:p>
    <w:p w:rsidR="00454C03" w:rsidRDefault="00903FF1" w:rsidP="00454C03">
      <w:pPr>
        <w:pStyle w:val="SR"/>
      </w:pPr>
      <w:r>
        <w:t>See the Model Argument Delineation Tool for sample student respon</w:t>
      </w:r>
      <w:r w:rsidR="009D7A83">
        <w:t>s</w:t>
      </w:r>
      <w:r>
        <w:t>es.</w:t>
      </w:r>
    </w:p>
    <w:p w:rsidR="00B2540B" w:rsidRDefault="00745C59">
      <w:pPr>
        <w:pStyle w:val="IN"/>
      </w:pPr>
      <w:r>
        <w:t xml:space="preserve">Students add to the </w:t>
      </w:r>
      <w:r w:rsidR="00162CAD">
        <w:t>Argument Delineation</w:t>
      </w:r>
      <w:r>
        <w:t xml:space="preserve"> Tool throughout this module and reference it for assessments. </w:t>
      </w:r>
    </w:p>
    <w:p w:rsidR="00641943" w:rsidRDefault="00641943" w:rsidP="00E07B34">
      <w:pPr>
        <w:pStyle w:val="BR"/>
      </w:pPr>
    </w:p>
    <w:p w:rsidR="004E1629" w:rsidRDefault="00422316" w:rsidP="00E712E2">
      <w:pPr>
        <w:pStyle w:val="TA"/>
      </w:pPr>
      <w:r>
        <w:t xml:space="preserve">Instruct students to reread paragraph 11. </w:t>
      </w:r>
    </w:p>
    <w:p w:rsidR="00A86FFE" w:rsidRDefault="0011756A" w:rsidP="00A86FFE">
      <w:pPr>
        <w:pStyle w:val="TA"/>
      </w:pPr>
      <w:r>
        <w:t>Provide students</w:t>
      </w:r>
      <w:r w:rsidR="00A86FFE">
        <w:t xml:space="preserve"> the following definitions: </w:t>
      </w:r>
      <w:r w:rsidR="00A86FFE">
        <w:rPr>
          <w:i/>
        </w:rPr>
        <w:t>thalidomide</w:t>
      </w:r>
      <w:r w:rsidR="00A86FFE">
        <w:t xml:space="preserve"> </w:t>
      </w:r>
      <w:r w:rsidR="00934F97">
        <w:t xml:space="preserve">means </w:t>
      </w:r>
      <w:r w:rsidR="00A86FFE">
        <w:t>“a sedative, commonly prescribed to pregnant women with morning sickness in the 1950’s and early 1960’s. When taken during pregnancy, it caused severe abnormalities in the limbs of fetuses. By 1963 when this letter was written, the drug had been taken off the international market,”</w:t>
      </w:r>
      <w:r w:rsidR="00A86FFE">
        <w:rPr>
          <w:i/>
        </w:rPr>
        <w:t xml:space="preserve"> </w:t>
      </w:r>
      <w:r w:rsidR="007F66F8">
        <w:rPr>
          <w:i/>
        </w:rPr>
        <w:t xml:space="preserve">lynch </w:t>
      </w:r>
      <w:r w:rsidR="007F66F8">
        <w:t>means “</w:t>
      </w:r>
      <w:r w:rsidR="007F66F8" w:rsidRPr="007F66F8">
        <w:t>to put to death, especially by hanging, by mob act</w:t>
      </w:r>
      <w:r w:rsidR="007F66F8">
        <w:t xml:space="preserve">ion and without legal authority,” </w:t>
      </w:r>
      <w:r w:rsidR="00A86FFE">
        <w:t xml:space="preserve">and </w:t>
      </w:r>
      <w:r w:rsidR="00A86FFE">
        <w:rPr>
          <w:i/>
        </w:rPr>
        <w:t xml:space="preserve">pathos </w:t>
      </w:r>
      <w:r w:rsidR="00934F97">
        <w:t xml:space="preserve">means </w:t>
      </w:r>
      <w:r w:rsidR="00A86FFE">
        <w:t>“</w:t>
      </w:r>
      <w:r w:rsidR="00A86FFE" w:rsidRPr="00AE5449">
        <w:t>the quality or power in an actual life experience or in literature, music, speech, or other forms of expression, of evoking a feeling of pity or compassion</w:t>
      </w:r>
      <w:r w:rsidR="00A86FFE">
        <w:t>.”</w:t>
      </w:r>
    </w:p>
    <w:p w:rsidR="00A86FFE" w:rsidRDefault="00A86FFE" w:rsidP="00A86FFE">
      <w:pPr>
        <w:pStyle w:val="SA"/>
      </w:pPr>
      <w:r>
        <w:t xml:space="preserve">Students write the definitions of </w:t>
      </w:r>
      <w:r>
        <w:rPr>
          <w:i/>
        </w:rPr>
        <w:t>thalidomide</w:t>
      </w:r>
      <w:r w:rsidR="007F66F8">
        <w:rPr>
          <w:i/>
        </w:rPr>
        <w:t>, lynch,</w:t>
      </w:r>
      <w:r>
        <w:t xml:space="preserve"> and </w:t>
      </w:r>
      <w:r>
        <w:rPr>
          <w:i/>
        </w:rPr>
        <w:t>pathos</w:t>
      </w:r>
      <w:r>
        <w:t xml:space="preserve"> on their copy of the text or in a vocabulary </w:t>
      </w:r>
      <w:r w:rsidR="00455761">
        <w:t>journal</w:t>
      </w:r>
      <w:r>
        <w:t>.</w:t>
      </w:r>
    </w:p>
    <w:p w:rsidR="00422316" w:rsidRDefault="000303EE" w:rsidP="00E712E2">
      <w:pPr>
        <w:pStyle w:val="TA"/>
      </w:pPr>
      <w:r>
        <w:t>Post or project the following questions for students to answer in groups</w:t>
      </w:r>
      <w:r w:rsidR="00EB359D">
        <w:t xml:space="preserve"> before sharing out with the class</w:t>
      </w:r>
      <w:r>
        <w:t xml:space="preserve">. </w:t>
      </w:r>
      <w:r w:rsidR="00D058F1">
        <w:t xml:space="preserve">Instruct </w:t>
      </w:r>
      <w:r>
        <w:t xml:space="preserve">students </w:t>
      </w:r>
      <w:r w:rsidR="00EB359D">
        <w:t xml:space="preserve">to </w:t>
      </w:r>
      <w:r>
        <w:t xml:space="preserve">continue to </w:t>
      </w:r>
      <w:r w:rsidR="00EB359D">
        <w:t>use</w:t>
      </w:r>
      <w:r>
        <w:t xml:space="preserve"> their Argument Delineation Tool as they </w:t>
      </w:r>
      <w:r w:rsidR="003A35B8">
        <w:t>discuss the questions</w:t>
      </w:r>
      <w:r>
        <w:t>.</w:t>
      </w:r>
    </w:p>
    <w:p w:rsidR="00030DE9" w:rsidRDefault="00030DE9" w:rsidP="00422316">
      <w:pPr>
        <w:pStyle w:val="Q"/>
      </w:pPr>
      <w:r>
        <w:t xml:space="preserve">How does King’s </w:t>
      </w:r>
      <w:r w:rsidR="009058EE">
        <w:t xml:space="preserve">supporting </w:t>
      </w:r>
      <w:r>
        <w:t xml:space="preserve">claim that “freedom is never voluntarily given by the oppressor; it must be demanded by the oppressed” </w:t>
      </w:r>
      <w:r w:rsidR="0040669F">
        <w:t>develop</w:t>
      </w:r>
      <w:r>
        <w:t xml:space="preserve"> the </w:t>
      </w:r>
      <w:r w:rsidR="002326E5">
        <w:t xml:space="preserve">central claim </w:t>
      </w:r>
      <w:r w:rsidR="005F34AE">
        <w:t>he</w:t>
      </w:r>
      <w:r>
        <w:t xml:space="preserve"> makes in paragraph 10?</w:t>
      </w:r>
    </w:p>
    <w:p w:rsidR="004E6ACD" w:rsidRDefault="00184E4D">
      <w:pPr>
        <w:pStyle w:val="SR"/>
      </w:pPr>
      <w:r>
        <w:t xml:space="preserve">It develops </w:t>
      </w:r>
      <w:r w:rsidR="00854A81">
        <w:t xml:space="preserve">his </w:t>
      </w:r>
      <w:r w:rsidR="000303EE">
        <w:t>central claim</w:t>
      </w:r>
      <w:r w:rsidR="00854A81">
        <w:t xml:space="preserve"> for the need of urgent and “direct action”</w:t>
      </w:r>
      <w:r w:rsidR="00EC1C61">
        <w:t xml:space="preserve"> (par. </w:t>
      </w:r>
      <w:r w:rsidR="0011756A">
        <w:t>10</w:t>
      </w:r>
      <w:r w:rsidR="00EC1C61">
        <w:t>)</w:t>
      </w:r>
      <w:r w:rsidR="00854A81">
        <w:t xml:space="preserve"> by </w:t>
      </w:r>
      <w:r w:rsidR="005B6125">
        <w:t>African Americans to secure their civil rights</w:t>
      </w:r>
      <w:r>
        <w:t>.</w:t>
      </w:r>
    </w:p>
    <w:p w:rsidR="004E6ACD" w:rsidRDefault="00422316">
      <w:pPr>
        <w:pStyle w:val="Q"/>
      </w:pPr>
      <w:r>
        <w:t xml:space="preserve">How does </w:t>
      </w:r>
      <w:r w:rsidR="00AC79DE">
        <w:t>King use figurative language to describe the “frustration” of being asked to wait?</w:t>
      </w:r>
      <w:r w:rsidR="0040669F">
        <w:t xml:space="preserve"> </w:t>
      </w:r>
    </w:p>
    <w:p w:rsidR="004E6ACD" w:rsidRDefault="00AC79DE">
      <w:pPr>
        <w:pStyle w:val="SR"/>
      </w:pPr>
      <w:r>
        <w:t>He uses metaphor to compare waiting to a sedative that</w:t>
      </w:r>
      <w:r w:rsidR="00311B37">
        <w:t xml:space="preserve"> temporarily</w:t>
      </w:r>
      <w:r>
        <w:t xml:space="preserve"> </w:t>
      </w:r>
      <w:r w:rsidR="006B3A4F">
        <w:t>eases discomfort</w:t>
      </w:r>
      <w:r>
        <w:t xml:space="preserve"> but causes birth defects</w:t>
      </w:r>
      <w:r w:rsidR="00AE2EA4">
        <w:t xml:space="preserve"> (par. 11)</w:t>
      </w:r>
      <w:r>
        <w:t>.</w:t>
      </w:r>
    </w:p>
    <w:p w:rsidR="004E6ACD" w:rsidRDefault="0040669F">
      <w:pPr>
        <w:pStyle w:val="Q"/>
      </w:pPr>
      <w:r>
        <w:t xml:space="preserve">How does this </w:t>
      </w:r>
      <w:r w:rsidR="00524B68">
        <w:t>use of figurative language</w:t>
      </w:r>
      <w:r>
        <w:t xml:space="preserve"> further </w:t>
      </w:r>
      <w:r w:rsidR="00E563AC">
        <w:t>King’</w:t>
      </w:r>
      <w:r>
        <w:t xml:space="preserve">s </w:t>
      </w:r>
      <w:r w:rsidR="002326E5">
        <w:t>central claim</w:t>
      </w:r>
      <w:r>
        <w:t>?</w:t>
      </w:r>
    </w:p>
    <w:p w:rsidR="004E6ACD" w:rsidRDefault="00E563AC">
      <w:pPr>
        <w:pStyle w:val="SR"/>
      </w:pPr>
      <w:r>
        <w:t>The metaphor</w:t>
      </w:r>
      <w:r w:rsidR="0040669F">
        <w:t xml:space="preserve"> furthers his </w:t>
      </w:r>
      <w:r w:rsidR="00785A6F">
        <w:t xml:space="preserve">central claim </w:t>
      </w:r>
      <w:r w:rsidR="0040669F">
        <w:t>by explaining w</w:t>
      </w:r>
      <w:r w:rsidR="00184E4D">
        <w:t xml:space="preserve">hy Africans Americans </w:t>
      </w:r>
      <w:r w:rsidR="006B3A4F">
        <w:t>feel that “</w:t>
      </w:r>
      <w:r w:rsidR="00C84FDF">
        <w:t>‘</w:t>
      </w:r>
      <w:r w:rsidR="006B3A4F">
        <w:t>wait’ has almost always meant ‘never’” in regards to their equality and the pain such waiting causes them</w:t>
      </w:r>
      <w:r w:rsidR="00AE51CE">
        <w:t xml:space="preserve"> (par</w:t>
      </w:r>
      <w:r w:rsidR="0011756A">
        <w:t>.</w:t>
      </w:r>
      <w:r w:rsidR="00AE51CE">
        <w:t xml:space="preserve"> 11)</w:t>
      </w:r>
      <w:r w:rsidR="006B3A4F">
        <w:t>.</w:t>
      </w:r>
    </w:p>
    <w:p w:rsidR="00343123" w:rsidRDefault="003C0ED3">
      <w:pPr>
        <w:pStyle w:val="Q"/>
      </w:pPr>
      <w:r>
        <w:t xml:space="preserve">How does King’s statement “I guess it is easy for those who have never felt </w:t>
      </w:r>
      <w:r w:rsidR="00C84FDF">
        <w:t>the</w:t>
      </w:r>
      <w:r>
        <w:t xml:space="preserve"> stinging darts of segregation to say ‘wait,’” develop the supporting claim at the beginning of paragraph 11?</w:t>
      </w:r>
    </w:p>
    <w:p w:rsidR="003C0ED3" w:rsidRDefault="003C0ED3" w:rsidP="003C0ED3">
      <w:pPr>
        <w:pStyle w:val="SR"/>
      </w:pPr>
      <w:r>
        <w:t>It develops the supporting claim by implying another reason why the “privileged” groups of whites do not understand the urgency for African Americans in securing their civil rights, and so they are even less likely to “voluntarily” give up their privilege</w:t>
      </w:r>
      <w:r w:rsidR="00AE51CE">
        <w:t xml:space="preserve"> (par</w:t>
      </w:r>
      <w:r w:rsidR="0011756A">
        <w:t>.</w:t>
      </w:r>
      <w:r w:rsidR="00AE51CE">
        <w:t xml:space="preserve"> 11)</w:t>
      </w:r>
      <w:r>
        <w:t>.</w:t>
      </w:r>
    </w:p>
    <w:p w:rsidR="00C84FDF" w:rsidRDefault="00C84FDF" w:rsidP="00C84FDF">
      <w:pPr>
        <w:pStyle w:val="Q"/>
      </w:pPr>
      <w:r>
        <w:t>What evidence does King provide to explain “why [African Americans] find it difficult to wait”?</w:t>
      </w:r>
    </w:p>
    <w:p w:rsidR="00421A2E" w:rsidRDefault="00C84FDF" w:rsidP="00421A2E">
      <w:pPr>
        <w:pStyle w:val="SR"/>
      </w:pPr>
      <w:r>
        <w:t xml:space="preserve">King provides a list of injustices experienced by African Americans in America: </w:t>
      </w:r>
      <w:r w:rsidR="002B1EB1">
        <w:t>“</w:t>
      </w:r>
      <w:r w:rsidR="008E643F">
        <w:t>vicious mobs lynch your mothers and fathers at will and drown your sisters and brothers at whim</w:t>
      </w:r>
      <w:r w:rsidR="003E57E9">
        <w:t xml:space="preserve"> . . . </w:t>
      </w:r>
      <w:r w:rsidR="002B1EB1">
        <w:t>hate-filled policemen” who “curse,</w:t>
      </w:r>
      <w:r w:rsidR="003243CE">
        <w:t xml:space="preserve"> kick, brutalize, and even kill</w:t>
      </w:r>
      <w:r w:rsidR="003E57E9">
        <w:t xml:space="preserve"> . . . </w:t>
      </w:r>
      <w:r w:rsidR="008E643F">
        <w:t>the majority of your twenty million Negro brothers smothering in an airtight cage of poverty</w:t>
      </w:r>
      <w:r w:rsidR="002B1EB1">
        <w:t xml:space="preserve"> in the midst of an affluent society”</w:t>
      </w:r>
      <w:r w:rsidR="00AE51CE">
        <w:t xml:space="preserve"> (par</w:t>
      </w:r>
      <w:r w:rsidR="00B05B1C">
        <w:t>.</w:t>
      </w:r>
      <w:r w:rsidR="00AE51CE">
        <w:t xml:space="preserve"> 11).</w:t>
      </w:r>
    </w:p>
    <w:p w:rsidR="001C15D2" w:rsidRDefault="001C15D2" w:rsidP="001C15D2">
      <w:pPr>
        <w:pStyle w:val="IN"/>
      </w:pPr>
      <w:r>
        <w:rPr>
          <w:b/>
        </w:rPr>
        <w:t xml:space="preserve">Differentiation Consideration: </w:t>
      </w:r>
      <w:r>
        <w:t>If students struggle with this question, ask them the following scaffolding question:</w:t>
      </w:r>
    </w:p>
    <w:p w:rsidR="00343123" w:rsidRDefault="004319C9">
      <w:pPr>
        <w:pStyle w:val="Q"/>
        <w:ind w:firstLine="360"/>
        <w:rPr>
          <w:color w:val="4F81BD" w:themeColor="accent1"/>
        </w:rPr>
      </w:pPr>
      <w:r w:rsidRPr="004319C9">
        <w:rPr>
          <w:color w:val="4F81BD" w:themeColor="accent1"/>
        </w:rPr>
        <w:t>How does King use imagery to further his central claim in paragraph 11?</w:t>
      </w:r>
    </w:p>
    <w:p w:rsidR="0028342F" w:rsidRDefault="004319C9" w:rsidP="002B1EB1">
      <w:pPr>
        <w:pStyle w:val="SR"/>
        <w:rPr>
          <w:color w:val="4F81BD" w:themeColor="accent1"/>
        </w:rPr>
      </w:pPr>
      <w:r w:rsidRPr="004319C9">
        <w:rPr>
          <w:color w:val="4F81BD" w:themeColor="accent1"/>
        </w:rPr>
        <w:t xml:space="preserve">King uses powerfully descriptive verbs such as </w:t>
      </w:r>
      <w:r w:rsidR="003243CE">
        <w:rPr>
          <w:color w:val="4F81BD" w:themeColor="accent1"/>
        </w:rPr>
        <w:t>“</w:t>
      </w:r>
      <w:r w:rsidRPr="003243CE">
        <w:rPr>
          <w:color w:val="4F81BD" w:themeColor="accent1"/>
        </w:rPr>
        <w:t>lynch,</w:t>
      </w:r>
      <w:r w:rsidR="003243CE">
        <w:rPr>
          <w:color w:val="4F81BD" w:themeColor="accent1"/>
        </w:rPr>
        <w:t>”</w:t>
      </w:r>
      <w:r w:rsidRPr="003243CE">
        <w:rPr>
          <w:color w:val="4F81BD" w:themeColor="accent1"/>
        </w:rPr>
        <w:t xml:space="preserve"> </w:t>
      </w:r>
      <w:r w:rsidR="003243CE">
        <w:rPr>
          <w:color w:val="4F81BD" w:themeColor="accent1"/>
        </w:rPr>
        <w:t>“</w:t>
      </w:r>
      <w:r w:rsidRPr="003243CE">
        <w:rPr>
          <w:color w:val="4F81BD" w:themeColor="accent1"/>
        </w:rPr>
        <w:t>drown,</w:t>
      </w:r>
      <w:r w:rsidR="003243CE">
        <w:rPr>
          <w:color w:val="4F81BD" w:themeColor="accent1"/>
        </w:rPr>
        <w:t>”</w:t>
      </w:r>
      <w:r w:rsidRPr="003243CE">
        <w:rPr>
          <w:color w:val="4F81BD" w:themeColor="accent1"/>
        </w:rPr>
        <w:t xml:space="preserve"> </w:t>
      </w:r>
      <w:r w:rsidR="003243CE">
        <w:rPr>
          <w:color w:val="4F81BD" w:themeColor="accent1"/>
        </w:rPr>
        <w:t>“</w:t>
      </w:r>
      <w:r w:rsidRPr="003243CE">
        <w:rPr>
          <w:color w:val="4F81BD" w:themeColor="accent1"/>
        </w:rPr>
        <w:t>curse,</w:t>
      </w:r>
      <w:r w:rsidR="003243CE">
        <w:rPr>
          <w:color w:val="4F81BD" w:themeColor="accent1"/>
        </w:rPr>
        <w:t>”</w:t>
      </w:r>
      <w:r w:rsidRPr="003243CE">
        <w:rPr>
          <w:color w:val="4F81BD" w:themeColor="accent1"/>
        </w:rPr>
        <w:t xml:space="preserve"> </w:t>
      </w:r>
      <w:r w:rsidR="003243CE">
        <w:rPr>
          <w:color w:val="4F81BD" w:themeColor="accent1"/>
        </w:rPr>
        <w:t>“</w:t>
      </w:r>
      <w:r w:rsidRPr="003243CE">
        <w:rPr>
          <w:color w:val="4F81BD" w:themeColor="accent1"/>
        </w:rPr>
        <w:t>kick,</w:t>
      </w:r>
      <w:r w:rsidR="003243CE">
        <w:rPr>
          <w:color w:val="4F81BD" w:themeColor="accent1"/>
        </w:rPr>
        <w:t>”</w:t>
      </w:r>
      <w:r w:rsidRPr="003243CE">
        <w:rPr>
          <w:color w:val="4F81BD" w:themeColor="accent1"/>
        </w:rPr>
        <w:t xml:space="preserve"> </w:t>
      </w:r>
      <w:r w:rsidR="003243CE">
        <w:rPr>
          <w:color w:val="4F81BD" w:themeColor="accent1"/>
        </w:rPr>
        <w:t>“</w:t>
      </w:r>
      <w:r w:rsidRPr="003243CE">
        <w:rPr>
          <w:color w:val="4F81BD" w:themeColor="accent1"/>
        </w:rPr>
        <w:t>brutalize,</w:t>
      </w:r>
      <w:r w:rsidR="003243CE">
        <w:rPr>
          <w:color w:val="4F81BD" w:themeColor="accent1"/>
        </w:rPr>
        <w:t>”</w:t>
      </w:r>
      <w:r w:rsidRPr="003243CE">
        <w:rPr>
          <w:color w:val="4F81BD" w:themeColor="accent1"/>
        </w:rPr>
        <w:t xml:space="preserve"> and </w:t>
      </w:r>
      <w:r w:rsidR="003243CE">
        <w:rPr>
          <w:color w:val="4F81BD" w:themeColor="accent1"/>
        </w:rPr>
        <w:t>“</w:t>
      </w:r>
      <w:r w:rsidRPr="003243CE">
        <w:rPr>
          <w:color w:val="4F81BD" w:themeColor="accent1"/>
        </w:rPr>
        <w:t>smothering</w:t>
      </w:r>
      <w:r w:rsidR="003243CE">
        <w:rPr>
          <w:color w:val="4F81BD" w:themeColor="accent1"/>
        </w:rPr>
        <w:t>”</w:t>
      </w:r>
      <w:r w:rsidRPr="004319C9">
        <w:rPr>
          <w:color w:val="4F81BD" w:themeColor="accent1"/>
        </w:rPr>
        <w:t xml:space="preserve"> to create vivid images in the reader’s mind</w:t>
      </w:r>
      <w:r w:rsidR="00AE51CE">
        <w:rPr>
          <w:color w:val="4F81BD" w:themeColor="accent1"/>
        </w:rPr>
        <w:t xml:space="preserve"> (</w:t>
      </w:r>
      <w:r w:rsidR="00F22B9E">
        <w:rPr>
          <w:color w:val="4F81BD" w:themeColor="accent1"/>
        </w:rPr>
        <w:t xml:space="preserve">par. </w:t>
      </w:r>
      <w:r w:rsidR="00AE51CE">
        <w:rPr>
          <w:color w:val="4F81BD" w:themeColor="accent1"/>
        </w:rPr>
        <w:t>11)</w:t>
      </w:r>
      <w:r w:rsidRPr="004319C9">
        <w:rPr>
          <w:color w:val="4F81BD" w:themeColor="accent1"/>
        </w:rPr>
        <w:t xml:space="preserve">. These images emphasize the horror of injustice and highlight the urgency for civil rights.  </w:t>
      </w:r>
    </w:p>
    <w:p w:rsidR="0028342F" w:rsidRDefault="0028342F" w:rsidP="0028342F">
      <w:pPr>
        <w:pStyle w:val="Q"/>
      </w:pPr>
      <w:r>
        <w:t xml:space="preserve">What is the effect of King’s use of </w:t>
      </w:r>
      <w:r w:rsidR="00375388">
        <w:t>the word “you”</w:t>
      </w:r>
      <w:r>
        <w:t xml:space="preserve"> in paragraph 11?</w:t>
      </w:r>
      <w:r w:rsidR="00754D39">
        <w:t xml:space="preserve"> How does this effect develop your understanding of King’s purpose paragraph 11?</w:t>
      </w:r>
    </w:p>
    <w:p w:rsidR="0028342F" w:rsidRDefault="00375388" w:rsidP="00754D39">
      <w:pPr>
        <w:pStyle w:val="SR"/>
      </w:pPr>
      <w:r>
        <w:t xml:space="preserve">The word “you” </w:t>
      </w:r>
      <w:r w:rsidR="00754D39">
        <w:t>makes the reader feel as if the “stinging darts of segregation” (par. 11) are happening to him/her. It develops King’s purpose by making the reader feel what African Americans feel, to understand their pain as human beings.</w:t>
      </w:r>
    </w:p>
    <w:p w:rsidR="004E6ACD" w:rsidRDefault="00AC79DE">
      <w:pPr>
        <w:pStyle w:val="Q"/>
      </w:pPr>
      <w:r>
        <w:t xml:space="preserve">How does the evidence King provides in paragraph 11 develop his </w:t>
      </w:r>
      <w:r w:rsidR="00785A6F">
        <w:t>central claim</w:t>
      </w:r>
      <w:r>
        <w:t>?</w:t>
      </w:r>
    </w:p>
    <w:p w:rsidR="00326657" w:rsidRDefault="00B64ABB" w:rsidP="00743357">
      <w:pPr>
        <w:pStyle w:val="SR"/>
      </w:pPr>
      <w:r>
        <w:t xml:space="preserve">The evidence develops </w:t>
      </w:r>
      <w:r w:rsidR="00E50C8F">
        <w:t xml:space="preserve">King’s </w:t>
      </w:r>
      <w:r w:rsidR="00785A6F">
        <w:t xml:space="preserve">central claim </w:t>
      </w:r>
      <w:r>
        <w:t xml:space="preserve">by showing the injustices imposed upon African Americans to </w:t>
      </w:r>
      <w:r w:rsidR="00184E4D">
        <w:t xml:space="preserve">explain why they need to take immediate action to gain </w:t>
      </w:r>
      <w:r w:rsidR="005B6125">
        <w:t>equal standing in American society</w:t>
      </w:r>
      <w:r w:rsidR="00184E4D">
        <w:t>.</w:t>
      </w:r>
    </w:p>
    <w:p w:rsidR="003A37AA" w:rsidRDefault="00363C50">
      <w:pPr>
        <w:pStyle w:val="Q"/>
      </w:pPr>
      <w:r>
        <w:t>What words could replace “legitimate” in paragraph 11?</w:t>
      </w:r>
    </w:p>
    <w:p w:rsidR="00363C50" w:rsidRDefault="00363C50" w:rsidP="00363C50">
      <w:pPr>
        <w:pStyle w:val="SR"/>
      </w:pPr>
      <w:r>
        <w:t>“Legitimate” could be replaced with “reasonable” or “justified.”</w:t>
      </w:r>
    </w:p>
    <w:p w:rsidR="00C91011" w:rsidRDefault="00C91011" w:rsidP="00C91011">
      <w:pPr>
        <w:pStyle w:val="SA"/>
      </w:pPr>
      <w:r>
        <w:t xml:space="preserve">Students write the definition of </w:t>
      </w:r>
      <w:r>
        <w:rPr>
          <w:i/>
        </w:rPr>
        <w:t>legitimate</w:t>
      </w:r>
      <w:r>
        <w:t xml:space="preserve"> on their copy of the text or in a vocabulary journal.</w:t>
      </w:r>
    </w:p>
    <w:p w:rsidR="003A37AA" w:rsidRDefault="00363C50">
      <w:pPr>
        <w:pStyle w:val="IN"/>
      </w:pPr>
      <w:r>
        <w:t>It is important that students recognize King’s use of “legitimate” as it comes up again in later lessons.</w:t>
      </w:r>
    </w:p>
    <w:p w:rsidR="00C25D4D" w:rsidRDefault="00C25D4D" w:rsidP="00C25D4D">
      <w:pPr>
        <w:pStyle w:val="IN"/>
      </w:pPr>
      <w:r>
        <w:t>Consider drawing students’ attention to their work with L.9-10.4.a as they use context clues to determine the meaning of a word.</w:t>
      </w:r>
    </w:p>
    <w:p w:rsidR="00343123" w:rsidRDefault="00CF12FC">
      <w:pPr>
        <w:pStyle w:val="Q"/>
      </w:pPr>
      <w:r>
        <w:t xml:space="preserve">Identify King’s reasoning in paragraph 11. </w:t>
      </w:r>
      <w:r w:rsidR="007C65B5">
        <w:t>How does King’s reasoning in paragraph 11 support his central claim in paragraph 10?</w:t>
      </w:r>
    </w:p>
    <w:p w:rsidR="00343123" w:rsidDel="00E31816" w:rsidRDefault="00CF12FC" w:rsidP="003A37AA">
      <w:pPr>
        <w:pStyle w:val="SR"/>
      </w:pPr>
      <w:r>
        <w:t xml:space="preserve">King’s </w:t>
      </w:r>
      <w:r w:rsidR="002748D4">
        <w:t xml:space="preserve">reasoning is that it is easy for whites to say “wait,” because they do not experience “the stinging darts of segregation” that </w:t>
      </w:r>
      <w:r w:rsidR="00456AFC">
        <w:t>gives</w:t>
      </w:r>
      <w:r w:rsidR="002748D4">
        <w:t xml:space="preserve"> African Americans </w:t>
      </w:r>
      <w:r w:rsidR="00456AFC">
        <w:t xml:space="preserve">a </w:t>
      </w:r>
      <w:r w:rsidR="002748D4">
        <w:t>“legitimate and unavoidab</w:t>
      </w:r>
      <w:r w:rsidR="00456AFC">
        <w:t xml:space="preserve">le </w:t>
      </w:r>
      <w:r w:rsidR="002748D4">
        <w:t>impatien</w:t>
      </w:r>
      <w:r w:rsidR="00456AFC">
        <w:t>ce</w:t>
      </w:r>
      <w:r w:rsidR="002748D4">
        <w:t xml:space="preserve">” </w:t>
      </w:r>
      <w:r w:rsidR="00456AFC">
        <w:t>for</w:t>
      </w:r>
      <w:r w:rsidR="002748D4">
        <w:t xml:space="preserve"> their civil rights</w:t>
      </w:r>
      <w:r w:rsidR="00AE51CE">
        <w:t xml:space="preserve"> (</w:t>
      </w:r>
      <w:r w:rsidR="00F22B9E">
        <w:t xml:space="preserve">par. </w:t>
      </w:r>
      <w:r w:rsidR="00AE51CE">
        <w:t>11)</w:t>
      </w:r>
      <w:r w:rsidR="002748D4">
        <w:t xml:space="preserve">. </w:t>
      </w:r>
      <w:r w:rsidR="007C65B5">
        <w:t>King’s reasoning support</w:t>
      </w:r>
      <w:r w:rsidR="00EF6B31">
        <w:t>s</w:t>
      </w:r>
      <w:r w:rsidR="007C65B5">
        <w:t xml:space="preserve"> his central claim by demonstrating why it is easy for whites to say “wait” </w:t>
      </w:r>
      <w:r w:rsidR="00C91011">
        <w:t xml:space="preserve">and </w:t>
      </w:r>
      <w:r w:rsidR="007C65B5">
        <w:t xml:space="preserve">why African Americans are </w:t>
      </w:r>
      <w:r w:rsidR="002748D4">
        <w:t>impatient</w:t>
      </w:r>
      <w:r w:rsidR="007C65B5">
        <w:t xml:space="preserve"> by providing specific, emotional details about </w:t>
      </w:r>
      <w:r w:rsidR="002748D4">
        <w:t>the injustices</w:t>
      </w:r>
      <w:r w:rsidR="007C65B5">
        <w:t xml:space="preserve"> suffered by African Americans every</w:t>
      </w:r>
      <w:r w:rsidR="00E003CD">
        <w:t xml:space="preserve"> </w:t>
      </w:r>
      <w:r w:rsidR="007C65B5">
        <w:t>day.</w:t>
      </w:r>
    </w:p>
    <w:p w:rsidR="005B7C0E" w:rsidRDefault="007C65B5">
      <w:pPr>
        <w:pStyle w:val="IN"/>
      </w:pPr>
      <w:r>
        <w:rPr>
          <w:b/>
        </w:rPr>
        <w:t xml:space="preserve">Differentiation Consideration: </w:t>
      </w:r>
      <w:r w:rsidR="005B7C0E">
        <w:t>If students struggle, consider a</w:t>
      </w:r>
      <w:r w:rsidR="00E7093F">
        <w:t>sk</w:t>
      </w:r>
      <w:r w:rsidR="005B7C0E">
        <w:t>ing</w:t>
      </w:r>
      <w:r w:rsidR="00E7093F">
        <w:t xml:space="preserve"> the following questions: </w:t>
      </w:r>
    </w:p>
    <w:p w:rsidR="005B7C0E" w:rsidRPr="00FE66C4" w:rsidRDefault="00E7093F" w:rsidP="002268EF">
      <w:pPr>
        <w:pStyle w:val="Q"/>
        <w:ind w:firstLine="360"/>
        <w:rPr>
          <w:color w:val="4F81BD" w:themeColor="accent1"/>
        </w:rPr>
      </w:pPr>
      <w:r w:rsidRPr="00FE66C4">
        <w:rPr>
          <w:color w:val="4F81BD" w:themeColor="accent1"/>
        </w:rPr>
        <w:t xml:space="preserve">How are King’s supporting claims in paragraph 11 related? </w:t>
      </w:r>
    </w:p>
    <w:p w:rsidR="005B7C0E" w:rsidRPr="00F37D0F" w:rsidRDefault="00FC0A6C" w:rsidP="005B7C0E">
      <w:pPr>
        <w:pStyle w:val="SR"/>
        <w:rPr>
          <w:color w:val="4F81BD" w:themeColor="accent1"/>
        </w:rPr>
      </w:pPr>
      <w:r w:rsidRPr="00F37D0F">
        <w:rPr>
          <w:color w:val="4F81BD" w:themeColor="accent1"/>
        </w:rPr>
        <w:t>All of King’s supporting claims are related because they all work to express why they cannot wait to have their rights given to them and how “justice to</w:t>
      </w:r>
      <w:r w:rsidR="00F37D0F">
        <w:rPr>
          <w:color w:val="4F81BD" w:themeColor="accent1"/>
        </w:rPr>
        <w:t>o</w:t>
      </w:r>
      <w:r w:rsidRPr="00F37D0F">
        <w:rPr>
          <w:color w:val="4F81BD" w:themeColor="accent1"/>
        </w:rPr>
        <w:t xml:space="preserve"> long delayed is justice denied”</w:t>
      </w:r>
      <w:r w:rsidR="00AE51CE">
        <w:rPr>
          <w:color w:val="4F81BD" w:themeColor="accent1"/>
        </w:rPr>
        <w:t xml:space="preserve"> (</w:t>
      </w:r>
      <w:r w:rsidR="00F22B9E">
        <w:rPr>
          <w:color w:val="4F81BD" w:themeColor="accent1"/>
        </w:rPr>
        <w:t xml:space="preserve">par. </w:t>
      </w:r>
      <w:r w:rsidR="00AE51CE">
        <w:rPr>
          <w:color w:val="4F81BD" w:themeColor="accent1"/>
        </w:rPr>
        <w:t>11).</w:t>
      </w:r>
    </w:p>
    <w:p w:rsidR="005B7C0E" w:rsidRPr="00FE66C4" w:rsidRDefault="00E7093F" w:rsidP="002268EF">
      <w:pPr>
        <w:pStyle w:val="Q"/>
        <w:ind w:firstLine="360"/>
        <w:rPr>
          <w:color w:val="4F81BD" w:themeColor="accent1"/>
        </w:rPr>
      </w:pPr>
      <w:r w:rsidRPr="00FE66C4">
        <w:rPr>
          <w:color w:val="4F81BD" w:themeColor="accent1"/>
        </w:rPr>
        <w:t>How is his evidence in paragraph 11 related?</w:t>
      </w:r>
      <w:r w:rsidR="009B1541" w:rsidRPr="00FE66C4">
        <w:rPr>
          <w:color w:val="4F81BD" w:themeColor="accent1"/>
        </w:rPr>
        <w:t xml:space="preserve"> </w:t>
      </w:r>
    </w:p>
    <w:p w:rsidR="005B7C0E" w:rsidRPr="00F37D0F" w:rsidRDefault="00FC0A6C" w:rsidP="005B7C0E">
      <w:pPr>
        <w:pStyle w:val="SR"/>
        <w:rPr>
          <w:color w:val="4F81BD" w:themeColor="accent1"/>
        </w:rPr>
      </w:pPr>
      <w:r w:rsidRPr="00F37D0F">
        <w:rPr>
          <w:color w:val="4F81BD" w:themeColor="accent1"/>
        </w:rPr>
        <w:t>All the evidence King provides describes “the stinging darts of segregation”</w:t>
      </w:r>
      <w:r w:rsidR="00AE51CE">
        <w:rPr>
          <w:color w:val="4F81BD" w:themeColor="accent1"/>
        </w:rPr>
        <w:t xml:space="preserve"> (</w:t>
      </w:r>
      <w:r w:rsidR="00F22B9E">
        <w:rPr>
          <w:color w:val="4F81BD" w:themeColor="accent1"/>
        </w:rPr>
        <w:t xml:space="preserve">par. </w:t>
      </w:r>
      <w:r w:rsidR="00AE51CE">
        <w:rPr>
          <w:color w:val="4F81BD" w:themeColor="accent1"/>
        </w:rPr>
        <w:t>11).</w:t>
      </w:r>
    </w:p>
    <w:p w:rsidR="00343123" w:rsidRPr="00FE66C4" w:rsidRDefault="009B1541" w:rsidP="002268EF">
      <w:pPr>
        <w:pStyle w:val="Q"/>
        <w:ind w:firstLine="360"/>
        <w:rPr>
          <w:color w:val="4F81BD" w:themeColor="accent1"/>
        </w:rPr>
      </w:pPr>
      <w:r w:rsidRPr="00FE66C4">
        <w:rPr>
          <w:color w:val="4F81BD" w:themeColor="accent1"/>
        </w:rPr>
        <w:t>How do these relationships relate to King’s central claim?</w:t>
      </w:r>
    </w:p>
    <w:p w:rsidR="005B7C0E" w:rsidRPr="00F37D0F" w:rsidRDefault="00FC0A6C" w:rsidP="005B7C0E">
      <w:pPr>
        <w:pStyle w:val="SR"/>
        <w:rPr>
          <w:color w:val="4F81BD" w:themeColor="accent1"/>
        </w:rPr>
      </w:pPr>
      <w:r w:rsidRPr="00F37D0F">
        <w:rPr>
          <w:color w:val="4F81BD" w:themeColor="accent1"/>
        </w:rPr>
        <w:t>They relate to King’s claim by developing the urgency of the African American’s cause and by providing</w:t>
      </w:r>
      <w:r w:rsidR="00421A2E" w:rsidRPr="00421A2E">
        <w:rPr>
          <w:color w:val="4F81BD" w:themeColor="accent1"/>
        </w:rPr>
        <w:t xml:space="preserve"> specific examples of </w:t>
      </w:r>
      <w:r w:rsidRPr="00F37D0F">
        <w:rPr>
          <w:color w:val="4F81BD" w:themeColor="accent1"/>
        </w:rPr>
        <w:t>why</w:t>
      </w:r>
      <w:r w:rsidR="00421A2E" w:rsidRPr="00421A2E">
        <w:rPr>
          <w:color w:val="4F81BD" w:themeColor="accent1"/>
        </w:rPr>
        <w:t xml:space="preserve"> they </w:t>
      </w:r>
      <w:r w:rsidRPr="00F37D0F">
        <w:rPr>
          <w:color w:val="4F81BD" w:themeColor="accent1"/>
        </w:rPr>
        <w:t>“find it difficult to wait”</w:t>
      </w:r>
      <w:r w:rsidR="00AE51CE">
        <w:rPr>
          <w:color w:val="4F81BD" w:themeColor="accent1"/>
        </w:rPr>
        <w:t xml:space="preserve"> (</w:t>
      </w:r>
      <w:r w:rsidR="00F22B9E">
        <w:rPr>
          <w:color w:val="4F81BD" w:themeColor="accent1"/>
        </w:rPr>
        <w:t xml:space="preserve">par. </w:t>
      </w:r>
      <w:r w:rsidR="00AE51CE">
        <w:rPr>
          <w:color w:val="4F81BD" w:themeColor="accent1"/>
        </w:rPr>
        <w:t>11).</w:t>
      </w:r>
    </w:p>
    <w:p w:rsidR="000E5724" w:rsidRDefault="000E5724" w:rsidP="000E5724">
      <w:pPr>
        <w:pStyle w:val="TA"/>
      </w:pPr>
      <w:r>
        <w:t xml:space="preserve">Lead a brief class discussion about </w:t>
      </w:r>
      <w:r w:rsidR="00F9409A">
        <w:t>the sufficiency of King’s evidence</w:t>
      </w:r>
      <w:r>
        <w:t xml:space="preserve"> in paragraphs 10 and 11.</w:t>
      </w:r>
    </w:p>
    <w:p w:rsidR="000E5724" w:rsidRDefault="0032272C" w:rsidP="000E5724">
      <w:pPr>
        <w:pStyle w:val="SR"/>
      </w:pPr>
      <w:r>
        <w:t>King’s evidence is sufficient because for each claim he makes, he provides several pieces of very strong evidence. For example, in paragraph 11, he claims that African Americans suffer “from the disease of segregation.” To support this claim, he describes seeing “vicious mobs lynch [his] mothers and fathers at will and drown [his] sister and brothers at whim</w:t>
      </w:r>
      <w:r w:rsidR="003243CE">
        <w:t>;</w:t>
      </w:r>
      <w:r>
        <w:t>” “hate-filled policemen curse, kick, brutalize, and even kill [his] black brothers and sisters</w:t>
      </w:r>
      <w:r w:rsidR="003243CE">
        <w:t>;</w:t>
      </w:r>
      <w:r>
        <w:t>” “twenty million Negro brothers smothering in an airtight cage of poverty</w:t>
      </w:r>
      <w:r w:rsidR="003243CE">
        <w:t>;</w:t>
      </w:r>
      <w:r>
        <w:t>”</w:t>
      </w:r>
      <w:r w:rsidR="00094F7F">
        <w:t xml:space="preserve"> etc.</w:t>
      </w:r>
      <w:r w:rsidR="00AE51CE">
        <w:t xml:space="preserve"> (</w:t>
      </w:r>
      <w:r w:rsidR="00F22B9E">
        <w:t xml:space="preserve">par. </w:t>
      </w:r>
      <w:r w:rsidR="00AE51CE">
        <w:t>11).</w:t>
      </w:r>
    </w:p>
    <w:p w:rsidR="00805C3B" w:rsidRDefault="00805C3B" w:rsidP="00805C3B">
      <w:pPr>
        <w:pStyle w:val="TA"/>
      </w:pPr>
      <w:r>
        <w:t>Lead a discussion about the relationship between King’s claims</w:t>
      </w:r>
      <w:r w:rsidR="003E0B3A">
        <w:t>, evidence,</w:t>
      </w:r>
      <w:r>
        <w:t xml:space="preserve"> and </w:t>
      </w:r>
      <w:r w:rsidR="003E0B3A">
        <w:t>reasoning</w:t>
      </w:r>
      <w:r>
        <w:t xml:space="preserve"> in paragraph 11. Remind students to use the Argument Delineation Tool to record the claims and evidence discussed in paragraph 11. </w:t>
      </w:r>
    </w:p>
    <w:p w:rsidR="00D81050" w:rsidRDefault="0082140F" w:rsidP="00FC5D7E">
      <w:pPr>
        <w:pStyle w:val="IN"/>
      </w:pPr>
      <w:r>
        <w:t xml:space="preserve">If necessary, remind students that </w:t>
      </w:r>
      <w:r>
        <w:rPr>
          <w:i/>
        </w:rPr>
        <w:t>valid</w:t>
      </w:r>
      <w:r>
        <w:t xml:space="preserve"> means “sound, well-founded, logical.” So when they evaluate reasoning, they are deciding if it is logically connected to the claims and evidence.</w:t>
      </w:r>
    </w:p>
    <w:p w:rsidR="00805C3B" w:rsidRDefault="00805C3B" w:rsidP="00805C3B">
      <w:pPr>
        <w:pStyle w:val="SR"/>
      </w:pPr>
      <w:r>
        <w:t>See the Model Argument Delineation Tool for sample student responses.</w:t>
      </w:r>
    </w:p>
    <w:p w:rsidR="00707670" w:rsidRDefault="00707670" w:rsidP="00707670">
      <w:pPr>
        <w:pStyle w:val="LearningSequenceHeader"/>
      </w:pPr>
      <w:r>
        <w:t>Activity 5</w:t>
      </w:r>
      <w:r w:rsidR="00D37382">
        <w:t>: Quick Write</w:t>
      </w:r>
      <w:r w:rsidR="00D37382">
        <w:tab/>
        <w:t>1</w:t>
      </w:r>
      <w:r w:rsidR="00E003CD">
        <w:t>5</w:t>
      </w:r>
      <w:r w:rsidRPr="00707670">
        <w:t>%</w:t>
      </w:r>
    </w:p>
    <w:p w:rsidR="00707670" w:rsidRDefault="00D37382" w:rsidP="00707670">
      <w:pPr>
        <w:pStyle w:val="TA"/>
      </w:pPr>
      <w:r>
        <w:t>Instruct students to respond briefly in writing to the following prompt</w:t>
      </w:r>
      <w:r w:rsidR="00962AF3">
        <w:t>:</w:t>
      </w:r>
    </w:p>
    <w:p w:rsidR="00962AF3" w:rsidRDefault="00962AF3" w:rsidP="00962AF3">
      <w:pPr>
        <w:pStyle w:val="Q"/>
      </w:pPr>
      <w:r>
        <w:t>Delineate the argument and specific claims in paragraphs 10</w:t>
      </w:r>
      <w:r w:rsidR="00312307">
        <w:t>–</w:t>
      </w:r>
      <w:r>
        <w:t>11. Assess whether King’s evidence is relevant and sufficient.</w:t>
      </w:r>
    </w:p>
    <w:p w:rsidR="00962AF3" w:rsidRDefault="00962AF3" w:rsidP="00962AF3">
      <w:pPr>
        <w:pStyle w:val="TA"/>
      </w:pPr>
      <w:r>
        <w:t>Instruct student</w:t>
      </w:r>
      <w:r w:rsidR="00A31491">
        <w:t>s</w:t>
      </w:r>
      <w:r>
        <w:t xml:space="preserve"> to look at their annotations to find evidence.</w:t>
      </w:r>
      <w:r w:rsidR="00AF28FD">
        <w:t xml:space="preserve"> </w:t>
      </w:r>
      <w:r w:rsidR="00D058F1">
        <w:t xml:space="preserve">Instruct </w:t>
      </w:r>
      <w:r w:rsidR="00AF28FD">
        <w:t>students to use this lesson’s vocabulary wherever possible in their written responses</w:t>
      </w:r>
      <w:r w:rsidR="003243CE">
        <w:t>, and practice using specific language and domain-specific vocabulary</w:t>
      </w:r>
      <w:r w:rsidR="00AF28FD">
        <w:t>.</w:t>
      </w:r>
      <w:r>
        <w:t xml:space="preserve"> Remind students of the </w:t>
      </w:r>
      <w:r w:rsidR="00A31491">
        <w:t>S</w:t>
      </w:r>
      <w:r>
        <w:t xml:space="preserve">hort </w:t>
      </w:r>
      <w:r w:rsidR="00A31491">
        <w:t>R</w:t>
      </w:r>
      <w:r>
        <w:t xml:space="preserve">esponse </w:t>
      </w:r>
      <w:r w:rsidR="001414A1">
        <w:t xml:space="preserve">Rubric </w:t>
      </w:r>
      <w:r>
        <w:t xml:space="preserve">and </w:t>
      </w:r>
      <w:r w:rsidR="001414A1">
        <w:t xml:space="preserve">Checklist </w:t>
      </w:r>
      <w:r>
        <w:t>to guide their written responses.</w:t>
      </w:r>
    </w:p>
    <w:p w:rsidR="00962AF3" w:rsidRDefault="00962AF3" w:rsidP="00962AF3">
      <w:pPr>
        <w:pStyle w:val="SA"/>
      </w:pPr>
      <w:r>
        <w:t>Students listen and read the Quick Write prompt.</w:t>
      </w:r>
    </w:p>
    <w:p w:rsidR="00962AF3" w:rsidRDefault="00962AF3" w:rsidP="00962AF3">
      <w:pPr>
        <w:pStyle w:val="IN"/>
      </w:pPr>
      <w:r>
        <w:t>Display the prompt for students to see, or provide the prompt in hard copy.</w:t>
      </w:r>
    </w:p>
    <w:p w:rsidR="00962AF3" w:rsidRDefault="00962AF3" w:rsidP="00962AF3">
      <w:pPr>
        <w:pStyle w:val="TA"/>
      </w:pPr>
      <w:r>
        <w:t>Transition to the independent Quick Write.</w:t>
      </w:r>
    </w:p>
    <w:p w:rsidR="00962AF3" w:rsidRDefault="00962AF3" w:rsidP="00962AF3">
      <w:pPr>
        <w:pStyle w:val="SA"/>
      </w:pPr>
      <w:r>
        <w:t>Students independently answer the prompt, using evidence from the text.</w:t>
      </w:r>
    </w:p>
    <w:p w:rsidR="00962AF3" w:rsidRPr="00707670" w:rsidRDefault="00962AF3" w:rsidP="00962AF3">
      <w:pPr>
        <w:pStyle w:val="SR"/>
      </w:pPr>
      <w:r>
        <w:t>See the High Performance Response at the beginning of this lesson.</w:t>
      </w:r>
    </w:p>
    <w:p w:rsidR="009403AD" w:rsidRPr="00563CB8" w:rsidRDefault="00C5015B" w:rsidP="00CE2836">
      <w:pPr>
        <w:pStyle w:val="LearningSequenceHeader"/>
      </w:pPr>
      <w:r>
        <w:t>Activity 6</w:t>
      </w:r>
      <w:r w:rsidR="009403AD" w:rsidRPr="00563CB8">
        <w:t xml:space="preserve">: </w:t>
      </w:r>
      <w:r w:rsidR="009403AD">
        <w:t>Closing</w:t>
      </w:r>
      <w:r w:rsidR="009403AD" w:rsidRPr="00563CB8">
        <w:tab/>
      </w:r>
      <w:r w:rsidR="009403AD">
        <w:t>5</w:t>
      </w:r>
      <w:r w:rsidR="009403AD" w:rsidRPr="00563CB8">
        <w:t>%</w:t>
      </w:r>
    </w:p>
    <w:p w:rsidR="00B53F6C" w:rsidRDefault="00962AF3" w:rsidP="00707670">
      <w:pPr>
        <w:pStyle w:val="TA"/>
      </w:pPr>
      <w:r>
        <w:t>Display and distribute the homework assignment</w:t>
      </w:r>
      <w:r w:rsidR="00E7093F">
        <w:t xml:space="preserve"> </w:t>
      </w:r>
      <w:r w:rsidR="00C91011">
        <w:t xml:space="preserve">and </w:t>
      </w:r>
      <w:r w:rsidR="00E7093F">
        <w:t>the</w:t>
      </w:r>
      <w:r w:rsidR="009830B1">
        <w:t xml:space="preserve"> Central</w:t>
      </w:r>
      <w:r w:rsidR="00E7093F">
        <w:t xml:space="preserve"> Ideas Tracking Tool</w:t>
      </w:r>
      <w:r>
        <w:t xml:space="preserve">. For homework, </w:t>
      </w:r>
      <w:r w:rsidR="00C91011">
        <w:t>instruct students to reread paragraphs 1–11 and use the Central Ideas Tracking Tool to track where and what central ideas emerge in the text.</w:t>
      </w:r>
    </w:p>
    <w:p w:rsidR="009403AD" w:rsidRDefault="00DD1CF4" w:rsidP="00707670">
      <w:pPr>
        <w:pStyle w:val="TA"/>
      </w:pPr>
      <w:r>
        <w:t xml:space="preserve">In addition, </w:t>
      </w:r>
      <w:r w:rsidR="00C91011">
        <w:t xml:space="preserve">instruct students to research the poet Ahmad Shamlu and the context in which he lived. </w:t>
      </w:r>
      <w:r w:rsidR="00C91011" w:rsidRPr="00B6423F">
        <w:rPr>
          <w:color w:val="000000"/>
          <w:szCs w:val="23"/>
        </w:rPr>
        <w:t xml:space="preserve">Instruct students to choose three facts about </w:t>
      </w:r>
      <w:r w:rsidR="00C91011">
        <w:rPr>
          <w:color w:val="000000"/>
          <w:szCs w:val="23"/>
        </w:rPr>
        <w:t>Shamlu</w:t>
      </w:r>
      <w:r w:rsidR="00C91011" w:rsidRPr="00B6423F">
        <w:rPr>
          <w:color w:val="000000"/>
          <w:szCs w:val="23"/>
        </w:rPr>
        <w:t xml:space="preserve"> and explain how the</w:t>
      </w:r>
      <w:r w:rsidR="00C91011">
        <w:rPr>
          <w:color w:val="000000"/>
          <w:szCs w:val="23"/>
        </w:rPr>
        <w:t>se facts might contribute to his</w:t>
      </w:r>
      <w:r w:rsidR="00C91011" w:rsidRPr="00B6423F">
        <w:rPr>
          <w:color w:val="000000"/>
          <w:szCs w:val="23"/>
        </w:rPr>
        <w:t xml:space="preserve"> perspective as a writer</w:t>
      </w:r>
      <w:r w:rsidR="001414A1">
        <w:rPr>
          <w:color w:val="000000"/>
          <w:szCs w:val="23"/>
        </w:rPr>
        <w:t>.</w:t>
      </w:r>
      <w:r w:rsidR="00C91011">
        <w:rPr>
          <w:color w:val="000000"/>
          <w:szCs w:val="23"/>
        </w:rPr>
        <w:t xml:space="preserve"> </w:t>
      </w:r>
    </w:p>
    <w:p w:rsidR="00E34105" w:rsidRDefault="00E34105" w:rsidP="00E34105">
      <w:pPr>
        <w:pStyle w:val="SA"/>
      </w:pPr>
      <w:r>
        <w:t>Students follow along.</w:t>
      </w:r>
    </w:p>
    <w:p w:rsidR="00B2540B" w:rsidRDefault="007A4C87">
      <w:pPr>
        <w:pStyle w:val="IN"/>
      </w:pPr>
      <w:r>
        <w:t xml:space="preserve">Students add to the </w:t>
      </w:r>
      <w:r w:rsidR="009830B1">
        <w:t xml:space="preserve">Central </w:t>
      </w:r>
      <w:r>
        <w:t xml:space="preserve">Ideas Tracking Tool throughout this module and reference it for assessments. </w:t>
      </w:r>
    </w:p>
    <w:p w:rsidR="00C4787C" w:rsidRDefault="00C4787C" w:rsidP="00E946A0">
      <w:pPr>
        <w:pStyle w:val="Heading1"/>
      </w:pPr>
      <w:r>
        <w:t>Homework</w:t>
      </w:r>
    </w:p>
    <w:p w:rsidR="00B53F6C" w:rsidRDefault="00E34105" w:rsidP="00DD1CF4">
      <w:r>
        <w:t>R</w:t>
      </w:r>
      <w:r w:rsidR="00C91011">
        <w:t>eread paragraphs 1–11 and use the Central Ideas Tracking Tool to track where and what central ideas emerge in the text.</w:t>
      </w:r>
    </w:p>
    <w:p w:rsidR="002041CD" w:rsidRDefault="00B53F6C" w:rsidP="00DD1CF4">
      <w:r>
        <w:t xml:space="preserve">Also, </w:t>
      </w:r>
      <w:r w:rsidR="00E7093F">
        <w:t>r</w:t>
      </w:r>
      <w:r w:rsidR="00C91011">
        <w:t xml:space="preserve">esearch the poet Ahmad Shamlu and the context in which he lived. </w:t>
      </w:r>
      <w:r w:rsidR="00C91011">
        <w:rPr>
          <w:color w:val="000000"/>
          <w:szCs w:val="23"/>
        </w:rPr>
        <w:t>C</w:t>
      </w:r>
      <w:r w:rsidR="00C91011" w:rsidRPr="00B6423F">
        <w:rPr>
          <w:color w:val="000000"/>
          <w:szCs w:val="23"/>
        </w:rPr>
        <w:t xml:space="preserve">hoose three facts about </w:t>
      </w:r>
      <w:r w:rsidR="00C91011">
        <w:rPr>
          <w:color w:val="000000"/>
          <w:szCs w:val="23"/>
        </w:rPr>
        <w:t>Shamlu</w:t>
      </w:r>
      <w:r w:rsidR="00C91011" w:rsidRPr="00B6423F">
        <w:rPr>
          <w:color w:val="000000"/>
          <w:szCs w:val="23"/>
        </w:rPr>
        <w:t xml:space="preserve"> and explain how the</w:t>
      </w:r>
      <w:r w:rsidR="00C91011">
        <w:rPr>
          <w:color w:val="000000"/>
          <w:szCs w:val="23"/>
        </w:rPr>
        <w:t>se facts might contribute to his</w:t>
      </w:r>
      <w:r w:rsidR="00C91011" w:rsidRPr="00B6423F">
        <w:rPr>
          <w:color w:val="000000"/>
          <w:szCs w:val="23"/>
        </w:rPr>
        <w:t xml:space="preserve"> perspective as a writer</w:t>
      </w:r>
      <w:r w:rsidR="00C91011">
        <w:rPr>
          <w:color w:val="000000"/>
          <w:szCs w:val="23"/>
        </w:rPr>
        <w:t xml:space="preserve">. </w:t>
      </w:r>
    </w:p>
    <w:p w:rsidR="009D7A83" w:rsidRDefault="004E1629" w:rsidP="00FE66C4">
      <w:pPr>
        <w:pStyle w:val="ToolHeader"/>
      </w:pPr>
      <w:r>
        <w:br w:type="page"/>
      </w:r>
      <w:r w:rsidR="009D7A83">
        <w:t>Argument Delineation Tool</w:t>
      </w:r>
    </w:p>
    <w:tbl>
      <w:tblPr>
        <w:tblStyle w:val="TableGrid"/>
        <w:tblW w:w="0" w:type="auto"/>
        <w:tblLook w:val="04A0"/>
      </w:tblPr>
      <w:tblGrid>
        <w:gridCol w:w="820"/>
        <w:gridCol w:w="2786"/>
        <w:gridCol w:w="732"/>
        <w:gridCol w:w="3045"/>
        <w:gridCol w:w="720"/>
        <w:gridCol w:w="1373"/>
      </w:tblGrid>
      <w:tr w:rsidR="009D7A83" w:rsidRPr="00707670">
        <w:trPr>
          <w:trHeight w:val="557"/>
        </w:trPr>
        <w:tc>
          <w:tcPr>
            <w:tcW w:w="816" w:type="dxa"/>
            <w:shd w:val="clear" w:color="auto" w:fill="D9D9D9" w:themeFill="background1" w:themeFillShade="D9"/>
            <w:vAlign w:val="center"/>
          </w:tcPr>
          <w:p w:rsidR="009D7A83" w:rsidRPr="00707670" w:rsidRDefault="009D7A83" w:rsidP="00EB359D">
            <w:pPr>
              <w:pStyle w:val="TableText"/>
              <w:rPr>
                <w:b/>
              </w:rPr>
            </w:pPr>
            <w:r w:rsidRPr="00707670">
              <w:rPr>
                <w:b/>
              </w:rPr>
              <w:t>Name:</w:t>
            </w:r>
          </w:p>
        </w:tc>
        <w:tc>
          <w:tcPr>
            <w:tcW w:w="2786" w:type="dxa"/>
            <w:vAlign w:val="center"/>
          </w:tcPr>
          <w:p w:rsidR="009D7A83" w:rsidRPr="00707670" w:rsidRDefault="009D7A83" w:rsidP="00EB359D">
            <w:pPr>
              <w:pStyle w:val="TableText"/>
              <w:rPr>
                <w:b/>
              </w:rPr>
            </w:pPr>
          </w:p>
        </w:tc>
        <w:tc>
          <w:tcPr>
            <w:tcW w:w="728" w:type="dxa"/>
            <w:shd w:val="clear" w:color="auto" w:fill="D9D9D9" w:themeFill="background1" w:themeFillShade="D9"/>
            <w:vAlign w:val="center"/>
          </w:tcPr>
          <w:p w:rsidR="009D7A83" w:rsidRPr="00707670" w:rsidRDefault="009D7A83" w:rsidP="00EB359D">
            <w:pPr>
              <w:pStyle w:val="TableText"/>
              <w:rPr>
                <w:b/>
              </w:rPr>
            </w:pPr>
            <w:r w:rsidRPr="00707670">
              <w:rPr>
                <w:b/>
              </w:rPr>
              <w:t>Class:</w:t>
            </w:r>
          </w:p>
        </w:tc>
        <w:tc>
          <w:tcPr>
            <w:tcW w:w="3045" w:type="dxa"/>
            <w:vAlign w:val="center"/>
          </w:tcPr>
          <w:p w:rsidR="009D7A83" w:rsidRPr="00707670" w:rsidRDefault="009D7A83" w:rsidP="00EB359D">
            <w:pPr>
              <w:pStyle w:val="TableText"/>
              <w:rPr>
                <w:b/>
              </w:rPr>
            </w:pPr>
          </w:p>
        </w:tc>
        <w:tc>
          <w:tcPr>
            <w:tcW w:w="720" w:type="dxa"/>
            <w:shd w:val="clear" w:color="auto" w:fill="D9D9D9" w:themeFill="background1" w:themeFillShade="D9"/>
            <w:vAlign w:val="center"/>
          </w:tcPr>
          <w:p w:rsidR="009D7A83" w:rsidRPr="00707670" w:rsidRDefault="009D7A83" w:rsidP="00EB359D">
            <w:pPr>
              <w:pStyle w:val="TableText"/>
              <w:rPr>
                <w:b/>
              </w:rPr>
            </w:pPr>
            <w:r w:rsidRPr="00707670">
              <w:rPr>
                <w:b/>
              </w:rPr>
              <w:t>Date:</w:t>
            </w:r>
          </w:p>
        </w:tc>
        <w:tc>
          <w:tcPr>
            <w:tcW w:w="1373" w:type="dxa"/>
            <w:vAlign w:val="center"/>
          </w:tcPr>
          <w:p w:rsidR="009D7A83" w:rsidRPr="00707670" w:rsidRDefault="009D7A83" w:rsidP="00EB359D">
            <w:pPr>
              <w:pStyle w:val="TableText"/>
              <w:rPr>
                <w:b/>
              </w:rPr>
            </w:pPr>
          </w:p>
        </w:tc>
      </w:tr>
    </w:tbl>
    <w:p w:rsidR="00100378" w:rsidRDefault="00100378" w:rsidP="009D7A83">
      <w:pPr>
        <w:spacing w:before="0" w:after="0"/>
        <w:rPr>
          <w:sz w:val="10"/>
        </w:rPr>
      </w:pPr>
    </w:p>
    <w:tbl>
      <w:tblPr>
        <w:tblStyle w:val="TableGrid"/>
        <w:tblW w:w="0" w:type="auto"/>
        <w:tblLook w:val="04A0"/>
      </w:tblPr>
      <w:tblGrid>
        <w:gridCol w:w="9468"/>
      </w:tblGrid>
      <w:tr w:rsidR="00C33257" w:rsidRPr="00707670" w:rsidTr="003E57E9">
        <w:trPr>
          <w:trHeight w:val="562"/>
        </w:trPr>
        <w:tc>
          <w:tcPr>
            <w:tcW w:w="9468" w:type="dxa"/>
            <w:shd w:val="clear" w:color="auto" w:fill="D9D9D9" w:themeFill="background1" w:themeFillShade="D9"/>
            <w:vAlign w:val="center"/>
          </w:tcPr>
          <w:p w:rsidR="00C33257" w:rsidRPr="00C33257" w:rsidRDefault="00C33257" w:rsidP="00100378">
            <w:pPr>
              <w:pStyle w:val="ToolTableText"/>
              <w:rPr>
                <w:b/>
              </w:rPr>
            </w:pPr>
            <w:r>
              <w:rPr>
                <w:b/>
              </w:rPr>
              <w:t>Directions</w:t>
            </w:r>
            <w:r w:rsidRPr="00C1224F">
              <w:rPr>
                <w:b/>
              </w:rPr>
              <w:t>:</w:t>
            </w:r>
            <w:r>
              <w:rPr>
                <w:b/>
              </w:rPr>
              <w:t xml:space="preserve"> </w:t>
            </w:r>
            <w:r w:rsidRPr="00C33257">
              <w:t>Identify and record each of the following elements of the author’s argument in the text (or portion of text): central claim, supporting claims, evidence, and reasoning. Remember that evidence supports claims and reasoning connects evidence to a claim. Reasoning also may explain the relationship among claims or across evidence.</w:t>
            </w:r>
          </w:p>
        </w:tc>
      </w:tr>
    </w:tbl>
    <w:p w:rsidR="003E3138" w:rsidRDefault="003E3138" w:rsidP="009D7A83">
      <w:pPr>
        <w:spacing w:before="0" w:after="0"/>
        <w:rPr>
          <w:sz w:val="10"/>
        </w:rPr>
      </w:pPr>
    </w:p>
    <w:tbl>
      <w:tblPr>
        <w:tblStyle w:val="TableGrid"/>
        <w:tblW w:w="0" w:type="auto"/>
        <w:tblLook w:val="04A0"/>
      </w:tblPr>
      <w:tblGrid>
        <w:gridCol w:w="738"/>
        <w:gridCol w:w="8730"/>
      </w:tblGrid>
      <w:tr w:rsidR="003E3138" w:rsidRPr="00E003CD">
        <w:trPr>
          <w:trHeight w:val="557"/>
        </w:trPr>
        <w:tc>
          <w:tcPr>
            <w:tcW w:w="738" w:type="dxa"/>
            <w:shd w:val="clear" w:color="auto" w:fill="D9D9D9" w:themeFill="background1" w:themeFillShade="D9"/>
            <w:vAlign w:val="center"/>
          </w:tcPr>
          <w:p w:rsidR="003E3138" w:rsidRPr="00E003CD" w:rsidRDefault="003E3138" w:rsidP="00E003CD">
            <w:pPr>
              <w:pStyle w:val="ToolTableText"/>
              <w:rPr>
                <w:b/>
              </w:rPr>
            </w:pPr>
            <w:r w:rsidRPr="00E003CD">
              <w:rPr>
                <w:b/>
              </w:rPr>
              <w:t>Text:</w:t>
            </w:r>
          </w:p>
        </w:tc>
        <w:tc>
          <w:tcPr>
            <w:tcW w:w="8730" w:type="dxa"/>
            <w:vAlign w:val="center"/>
          </w:tcPr>
          <w:p w:rsidR="003E3138" w:rsidRPr="00E003CD" w:rsidRDefault="003E3138" w:rsidP="00E003CD">
            <w:pPr>
              <w:pStyle w:val="ToolTableText"/>
              <w:rPr>
                <w:b/>
              </w:rPr>
            </w:pPr>
          </w:p>
        </w:tc>
      </w:tr>
    </w:tbl>
    <w:p w:rsidR="003E3138" w:rsidRDefault="003E3138" w:rsidP="009D7A83">
      <w:pPr>
        <w:spacing w:before="0" w:after="0"/>
        <w:rPr>
          <w:sz w:val="10"/>
        </w:rPr>
      </w:pPr>
    </w:p>
    <w:tbl>
      <w:tblPr>
        <w:tblStyle w:val="TableGrid"/>
        <w:tblW w:w="0" w:type="auto"/>
        <w:tblLook w:val="04A0"/>
      </w:tblPr>
      <w:tblGrid>
        <w:gridCol w:w="9468"/>
      </w:tblGrid>
      <w:tr w:rsidR="009D7A83" w:rsidRPr="00707670">
        <w:trPr>
          <w:trHeight w:val="557"/>
        </w:trPr>
        <w:tc>
          <w:tcPr>
            <w:tcW w:w="9468" w:type="dxa"/>
            <w:shd w:val="clear" w:color="auto" w:fill="auto"/>
            <w:vAlign w:val="center"/>
          </w:tcPr>
          <w:p w:rsidR="009D7A83" w:rsidRPr="00E003CD" w:rsidRDefault="009D7A83" w:rsidP="00E003CD">
            <w:pPr>
              <w:pStyle w:val="ToolTableText"/>
              <w:rPr>
                <w:b/>
              </w:rPr>
            </w:pPr>
            <w:r w:rsidRPr="00E003CD">
              <w:rPr>
                <w:b/>
              </w:rPr>
              <w:t>Central Claim:</w:t>
            </w:r>
          </w:p>
          <w:p w:rsidR="009D7A83" w:rsidRPr="00707670" w:rsidRDefault="009D7A83" w:rsidP="007C0F94">
            <w:pPr>
              <w:pStyle w:val="TableText"/>
              <w:rPr>
                <w:b/>
              </w:rPr>
            </w:pPr>
          </w:p>
        </w:tc>
      </w:tr>
    </w:tbl>
    <w:p w:rsidR="009D7A83" w:rsidRPr="00646088" w:rsidRDefault="009D7A83" w:rsidP="009D7A83">
      <w:pPr>
        <w:spacing w:before="0" w:after="0"/>
        <w:rPr>
          <w:sz w:val="10"/>
        </w:rPr>
      </w:pPr>
    </w:p>
    <w:tbl>
      <w:tblPr>
        <w:tblStyle w:val="TableGrid"/>
        <w:tblW w:w="9468" w:type="dxa"/>
        <w:tblLook w:val="04A0"/>
      </w:tblPr>
      <w:tblGrid>
        <w:gridCol w:w="4158"/>
        <w:gridCol w:w="2340"/>
        <w:gridCol w:w="2970"/>
      </w:tblGrid>
      <w:tr w:rsidR="009D7A83" w:rsidRPr="00646088">
        <w:tc>
          <w:tcPr>
            <w:tcW w:w="9468" w:type="dxa"/>
            <w:gridSpan w:val="3"/>
            <w:shd w:val="clear" w:color="auto" w:fill="D9D9D9" w:themeFill="background1" w:themeFillShade="D9"/>
          </w:tcPr>
          <w:p w:rsidR="009D7A83" w:rsidRDefault="009D7A83" w:rsidP="00EB359D">
            <w:pPr>
              <w:pStyle w:val="ToolTableText"/>
              <w:rPr>
                <w:b/>
              </w:rPr>
            </w:pPr>
            <w:r>
              <w:rPr>
                <w:b/>
              </w:rPr>
              <w:t>Supporting Claim:</w:t>
            </w:r>
          </w:p>
        </w:tc>
      </w:tr>
      <w:tr w:rsidR="009D7A83">
        <w:tc>
          <w:tcPr>
            <w:tcW w:w="9468" w:type="dxa"/>
            <w:gridSpan w:val="3"/>
          </w:tcPr>
          <w:p w:rsidR="009D7A83" w:rsidRDefault="009D7A83" w:rsidP="00EB359D">
            <w:pPr>
              <w:pStyle w:val="ToolTableText"/>
            </w:pPr>
          </w:p>
          <w:p w:rsidR="009D7A83" w:rsidRDefault="009D7A83" w:rsidP="00EB359D">
            <w:pPr>
              <w:pStyle w:val="ToolTableText"/>
            </w:pPr>
          </w:p>
        </w:tc>
      </w:tr>
      <w:tr w:rsidR="009D7A83" w:rsidRPr="00E003CD">
        <w:trPr>
          <w:trHeight w:val="656"/>
        </w:trPr>
        <w:tc>
          <w:tcPr>
            <w:tcW w:w="4158" w:type="dxa"/>
            <w:shd w:val="clear" w:color="auto" w:fill="D9D9D9" w:themeFill="background1" w:themeFillShade="D9"/>
          </w:tcPr>
          <w:p w:rsidR="009D7A83" w:rsidRPr="00E003CD" w:rsidRDefault="009D7A83" w:rsidP="00E003CD">
            <w:pPr>
              <w:pStyle w:val="ToolTableText"/>
              <w:rPr>
                <w:b/>
              </w:rPr>
            </w:pPr>
            <w:r w:rsidRPr="00E003CD">
              <w:rPr>
                <w:b/>
              </w:rPr>
              <w:t>Evidence:</w:t>
            </w:r>
          </w:p>
        </w:tc>
        <w:tc>
          <w:tcPr>
            <w:tcW w:w="2340" w:type="dxa"/>
            <w:shd w:val="clear" w:color="auto" w:fill="D9D9D9" w:themeFill="background1" w:themeFillShade="D9"/>
          </w:tcPr>
          <w:p w:rsidR="009D7A83" w:rsidRPr="00E003CD" w:rsidRDefault="009D7A83" w:rsidP="00E003CD">
            <w:pPr>
              <w:pStyle w:val="ToolTableText"/>
              <w:rPr>
                <w:b/>
              </w:rPr>
            </w:pPr>
            <w:r w:rsidRPr="00E003CD">
              <w:rPr>
                <w:b/>
              </w:rPr>
              <w:t>Explain how the evidence is relevant:</w:t>
            </w:r>
          </w:p>
        </w:tc>
        <w:tc>
          <w:tcPr>
            <w:tcW w:w="2970" w:type="dxa"/>
            <w:shd w:val="clear" w:color="auto" w:fill="D9D9D9" w:themeFill="background1" w:themeFillShade="D9"/>
          </w:tcPr>
          <w:p w:rsidR="009D7A83" w:rsidRPr="00E003CD" w:rsidRDefault="009D7A83" w:rsidP="00E003CD">
            <w:pPr>
              <w:pStyle w:val="ToolTableText"/>
              <w:rPr>
                <w:b/>
              </w:rPr>
            </w:pPr>
            <w:r w:rsidRPr="00E003CD">
              <w:rPr>
                <w:b/>
              </w:rPr>
              <w:t>Explain whether the evidence is sufficient:</w:t>
            </w:r>
          </w:p>
        </w:tc>
      </w:tr>
      <w:tr w:rsidR="009D7A83">
        <w:tc>
          <w:tcPr>
            <w:tcW w:w="4158" w:type="dxa"/>
          </w:tcPr>
          <w:p w:rsidR="009D7A83" w:rsidRDefault="009D7A83" w:rsidP="00EB359D">
            <w:pPr>
              <w:pStyle w:val="ToolTableText"/>
            </w:pPr>
          </w:p>
          <w:p w:rsidR="009D7A83" w:rsidRDefault="009D7A83" w:rsidP="00EB359D">
            <w:pPr>
              <w:pStyle w:val="ToolTableText"/>
            </w:pPr>
          </w:p>
          <w:p w:rsidR="009D7A83" w:rsidRDefault="009D7A83" w:rsidP="00EB359D">
            <w:pPr>
              <w:pStyle w:val="ToolTableText"/>
            </w:pPr>
          </w:p>
        </w:tc>
        <w:tc>
          <w:tcPr>
            <w:tcW w:w="2340" w:type="dxa"/>
          </w:tcPr>
          <w:p w:rsidR="009D7A83" w:rsidRDefault="009D7A83" w:rsidP="00EB359D"/>
        </w:tc>
        <w:tc>
          <w:tcPr>
            <w:tcW w:w="2970" w:type="dxa"/>
          </w:tcPr>
          <w:p w:rsidR="009D7A83" w:rsidRDefault="009D7A83" w:rsidP="00EB359D"/>
        </w:tc>
      </w:tr>
      <w:tr w:rsidR="009D7A83">
        <w:tc>
          <w:tcPr>
            <w:tcW w:w="6498" w:type="dxa"/>
            <w:gridSpan w:val="2"/>
            <w:shd w:val="clear" w:color="auto" w:fill="D9D9D9" w:themeFill="background1" w:themeFillShade="D9"/>
          </w:tcPr>
          <w:p w:rsidR="009D7A83" w:rsidRPr="005E5940" w:rsidRDefault="009D7A83" w:rsidP="00EB359D">
            <w:pPr>
              <w:pStyle w:val="ToolTableText"/>
              <w:rPr>
                <w:b/>
              </w:rPr>
            </w:pPr>
            <w:r w:rsidRPr="005E5940">
              <w:rPr>
                <w:b/>
              </w:rPr>
              <w:t>Reasoning:</w:t>
            </w:r>
          </w:p>
        </w:tc>
        <w:tc>
          <w:tcPr>
            <w:tcW w:w="2970" w:type="dxa"/>
            <w:shd w:val="clear" w:color="auto" w:fill="D9D9D9" w:themeFill="background1" w:themeFillShade="D9"/>
          </w:tcPr>
          <w:p w:rsidR="009D7A83" w:rsidRPr="005E5940" w:rsidRDefault="009D7A83" w:rsidP="00EB359D">
            <w:pPr>
              <w:pStyle w:val="ToolTableText"/>
              <w:rPr>
                <w:b/>
              </w:rPr>
            </w:pPr>
            <w:r w:rsidRPr="005E5940">
              <w:rPr>
                <w:b/>
              </w:rPr>
              <w:t>Explain whether the reasoning is valid:</w:t>
            </w:r>
          </w:p>
        </w:tc>
      </w:tr>
      <w:tr w:rsidR="009D7A83">
        <w:tc>
          <w:tcPr>
            <w:tcW w:w="6498" w:type="dxa"/>
            <w:gridSpan w:val="2"/>
            <w:shd w:val="clear" w:color="auto" w:fill="FFFFFF" w:themeFill="background1"/>
          </w:tcPr>
          <w:p w:rsidR="009D7A83" w:rsidRDefault="009D7A83" w:rsidP="00EB359D">
            <w:pPr>
              <w:pStyle w:val="ToolTableText"/>
            </w:pPr>
          </w:p>
          <w:p w:rsidR="009D7A83" w:rsidRDefault="009D7A83" w:rsidP="00EB359D">
            <w:pPr>
              <w:pStyle w:val="ToolTableText"/>
            </w:pPr>
          </w:p>
          <w:p w:rsidR="009D7A83" w:rsidRDefault="009D7A83" w:rsidP="00EB359D">
            <w:pPr>
              <w:pStyle w:val="ToolTableText"/>
            </w:pPr>
          </w:p>
        </w:tc>
        <w:tc>
          <w:tcPr>
            <w:tcW w:w="2970" w:type="dxa"/>
            <w:shd w:val="clear" w:color="auto" w:fill="FFFFFF" w:themeFill="background1"/>
          </w:tcPr>
          <w:p w:rsidR="009D7A83" w:rsidRDefault="009D7A83" w:rsidP="00EB359D">
            <w:pPr>
              <w:pStyle w:val="ToolTableText"/>
            </w:pPr>
          </w:p>
        </w:tc>
      </w:tr>
      <w:tr w:rsidR="009D7A83" w:rsidRPr="00646088">
        <w:tc>
          <w:tcPr>
            <w:tcW w:w="9468" w:type="dxa"/>
            <w:gridSpan w:val="3"/>
            <w:shd w:val="clear" w:color="auto" w:fill="D9D9D9" w:themeFill="background1" w:themeFillShade="D9"/>
          </w:tcPr>
          <w:p w:rsidR="009D7A83" w:rsidRDefault="009D7A83" w:rsidP="00EB359D">
            <w:pPr>
              <w:pStyle w:val="ToolTableText"/>
              <w:rPr>
                <w:b/>
              </w:rPr>
            </w:pPr>
            <w:r>
              <w:rPr>
                <w:b/>
              </w:rPr>
              <w:t>Supporting Claim:</w:t>
            </w:r>
          </w:p>
        </w:tc>
      </w:tr>
      <w:tr w:rsidR="009D7A83">
        <w:tc>
          <w:tcPr>
            <w:tcW w:w="9468" w:type="dxa"/>
            <w:gridSpan w:val="3"/>
          </w:tcPr>
          <w:p w:rsidR="009D7A83" w:rsidRDefault="009D7A83" w:rsidP="00EB359D">
            <w:pPr>
              <w:pStyle w:val="ToolTableText"/>
            </w:pPr>
          </w:p>
          <w:p w:rsidR="009D7A83" w:rsidRDefault="009D7A83" w:rsidP="00EB359D">
            <w:pPr>
              <w:pStyle w:val="ToolTableText"/>
            </w:pPr>
          </w:p>
        </w:tc>
      </w:tr>
    </w:tbl>
    <w:p w:rsidR="007B2F6F" w:rsidRDefault="007B2F6F">
      <w:r>
        <w:br w:type="page"/>
      </w:r>
    </w:p>
    <w:tbl>
      <w:tblPr>
        <w:tblStyle w:val="TableGrid"/>
        <w:tblW w:w="9468" w:type="dxa"/>
        <w:tblLook w:val="04A0"/>
      </w:tblPr>
      <w:tblGrid>
        <w:gridCol w:w="4158"/>
        <w:gridCol w:w="2340"/>
        <w:gridCol w:w="2970"/>
      </w:tblGrid>
      <w:tr w:rsidR="009D7A83">
        <w:trPr>
          <w:trHeight w:val="656"/>
        </w:trPr>
        <w:tc>
          <w:tcPr>
            <w:tcW w:w="4158" w:type="dxa"/>
            <w:shd w:val="clear" w:color="auto" w:fill="D9D9D9" w:themeFill="background1" w:themeFillShade="D9"/>
          </w:tcPr>
          <w:p w:rsidR="009D7A83" w:rsidRPr="005E5940" w:rsidRDefault="009D7A83" w:rsidP="00EB359D">
            <w:pPr>
              <w:pStyle w:val="ToolTableText"/>
              <w:rPr>
                <w:b/>
              </w:rPr>
            </w:pPr>
            <w:r w:rsidRPr="005E5940">
              <w:rPr>
                <w:b/>
              </w:rPr>
              <w:t>Evidence:</w:t>
            </w:r>
          </w:p>
        </w:tc>
        <w:tc>
          <w:tcPr>
            <w:tcW w:w="2340" w:type="dxa"/>
            <w:shd w:val="clear" w:color="auto" w:fill="D9D9D9" w:themeFill="background1" w:themeFillShade="D9"/>
          </w:tcPr>
          <w:p w:rsidR="009D7A83" w:rsidRPr="005E5940" w:rsidRDefault="009D7A83" w:rsidP="00EB359D">
            <w:pPr>
              <w:pStyle w:val="ToolTableText"/>
              <w:rPr>
                <w:b/>
              </w:rPr>
            </w:pPr>
            <w:r w:rsidRPr="005E5940">
              <w:rPr>
                <w:b/>
              </w:rPr>
              <w:t>Explain how the evidence is relevant:</w:t>
            </w:r>
          </w:p>
        </w:tc>
        <w:tc>
          <w:tcPr>
            <w:tcW w:w="2970" w:type="dxa"/>
            <w:shd w:val="clear" w:color="auto" w:fill="D9D9D9" w:themeFill="background1" w:themeFillShade="D9"/>
          </w:tcPr>
          <w:p w:rsidR="009D7A83" w:rsidRPr="005E5940" w:rsidRDefault="009D7A83" w:rsidP="00EB359D">
            <w:pPr>
              <w:spacing w:line="240" w:lineRule="auto"/>
              <w:rPr>
                <w:b/>
              </w:rPr>
            </w:pPr>
            <w:r w:rsidRPr="005E5940">
              <w:rPr>
                <w:b/>
              </w:rPr>
              <w:t>Explain whether the evidence is sufficient:</w:t>
            </w:r>
          </w:p>
        </w:tc>
      </w:tr>
      <w:tr w:rsidR="009D7A83">
        <w:tc>
          <w:tcPr>
            <w:tcW w:w="4158" w:type="dxa"/>
          </w:tcPr>
          <w:p w:rsidR="009D7A83" w:rsidRDefault="009D7A83" w:rsidP="00EB359D">
            <w:pPr>
              <w:pStyle w:val="ToolTableText"/>
            </w:pPr>
          </w:p>
          <w:p w:rsidR="009D7A83" w:rsidRDefault="009D7A83" w:rsidP="00EB359D">
            <w:pPr>
              <w:pStyle w:val="ToolTableText"/>
            </w:pPr>
          </w:p>
          <w:p w:rsidR="009D7A83" w:rsidRDefault="009D7A83" w:rsidP="00EB359D">
            <w:pPr>
              <w:pStyle w:val="ToolTableText"/>
            </w:pPr>
          </w:p>
        </w:tc>
        <w:tc>
          <w:tcPr>
            <w:tcW w:w="2340" w:type="dxa"/>
          </w:tcPr>
          <w:p w:rsidR="009D7A83" w:rsidRDefault="009D7A83" w:rsidP="00EB359D"/>
        </w:tc>
        <w:tc>
          <w:tcPr>
            <w:tcW w:w="2970" w:type="dxa"/>
          </w:tcPr>
          <w:p w:rsidR="009D7A83" w:rsidRDefault="009D7A83" w:rsidP="00EB359D"/>
        </w:tc>
      </w:tr>
      <w:tr w:rsidR="009D7A83">
        <w:tc>
          <w:tcPr>
            <w:tcW w:w="6498" w:type="dxa"/>
            <w:gridSpan w:val="2"/>
            <w:shd w:val="clear" w:color="auto" w:fill="D9D9D9" w:themeFill="background1" w:themeFillShade="D9"/>
          </w:tcPr>
          <w:p w:rsidR="009D7A83" w:rsidRPr="005E5940" w:rsidRDefault="009D7A83" w:rsidP="00E003CD">
            <w:pPr>
              <w:pStyle w:val="ToolTableText"/>
              <w:keepNext/>
              <w:rPr>
                <w:b/>
              </w:rPr>
            </w:pPr>
            <w:r w:rsidRPr="005E5940">
              <w:rPr>
                <w:b/>
              </w:rPr>
              <w:t>Reasoning:</w:t>
            </w:r>
          </w:p>
        </w:tc>
        <w:tc>
          <w:tcPr>
            <w:tcW w:w="2970" w:type="dxa"/>
            <w:shd w:val="clear" w:color="auto" w:fill="D9D9D9" w:themeFill="background1" w:themeFillShade="D9"/>
          </w:tcPr>
          <w:p w:rsidR="009D7A83" w:rsidRPr="005E5940" w:rsidRDefault="009D7A83" w:rsidP="00EB359D">
            <w:pPr>
              <w:pStyle w:val="ToolTableText"/>
              <w:rPr>
                <w:b/>
              </w:rPr>
            </w:pPr>
            <w:r w:rsidRPr="005E5940">
              <w:rPr>
                <w:b/>
              </w:rPr>
              <w:t>Explain whether the reasoning is valid:</w:t>
            </w:r>
          </w:p>
        </w:tc>
      </w:tr>
      <w:tr w:rsidR="009D7A83">
        <w:tc>
          <w:tcPr>
            <w:tcW w:w="6498" w:type="dxa"/>
            <w:gridSpan w:val="2"/>
            <w:shd w:val="clear" w:color="auto" w:fill="FFFFFF" w:themeFill="background1"/>
          </w:tcPr>
          <w:p w:rsidR="009D7A83" w:rsidRDefault="009D7A83" w:rsidP="00EB359D">
            <w:pPr>
              <w:pStyle w:val="ToolTableText"/>
            </w:pPr>
          </w:p>
          <w:p w:rsidR="009D7A83" w:rsidRDefault="009D7A83" w:rsidP="00EB359D">
            <w:pPr>
              <w:pStyle w:val="ToolTableText"/>
            </w:pPr>
          </w:p>
          <w:p w:rsidR="009D7A83" w:rsidRDefault="009D7A83" w:rsidP="00EB359D">
            <w:pPr>
              <w:pStyle w:val="ToolTableText"/>
            </w:pPr>
          </w:p>
        </w:tc>
        <w:tc>
          <w:tcPr>
            <w:tcW w:w="2970" w:type="dxa"/>
            <w:shd w:val="clear" w:color="auto" w:fill="FFFFFF" w:themeFill="background1"/>
          </w:tcPr>
          <w:p w:rsidR="009D7A83" w:rsidRDefault="009D7A83" w:rsidP="00EB359D">
            <w:pPr>
              <w:pStyle w:val="ToolTableText"/>
            </w:pPr>
          </w:p>
        </w:tc>
      </w:tr>
    </w:tbl>
    <w:p w:rsidR="00C37C75" w:rsidRDefault="004E1629" w:rsidP="00C37C75">
      <w:pPr>
        <w:pStyle w:val="ToolHeader"/>
      </w:pPr>
      <w:r>
        <w:br w:type="page"/>
      </w:r>
      <w:r w:rsidR="00C37C75">
        <w:t>Model Argument Delineation Tool</w:t>
      </w:r>
    </w:p>
    <w:tbl>
      <w:tblPr>
        <w:tblStyle w:val="TableGrid"/>
        <w:tblW w:w="0" w:type="auto"/>
        <w:tblLook w:val="04A0"/>
      </w:tblPr>
      <w:tblGrid>
        <w:gridCol w:w="820"/>
        <w:gridCol w:w="2786"/>
        <w:gridCol w:w="732"/>
        <w:gridCol w:w="3045"/>
        <w:gridCol w:w="720"/>
        <w:gridCol w:w="1373"/>
      </w:tblGrid>
      <w:tr w:rsidR="00C37C75" w:rsidRPr="00707670">
        <w:trPr>
          <w:trHeight w:val="557"/>
        </w:trPr>
        <w:tc>
          <w:tcPr>
            <w:tcW w:w="816" w:type="dxa"/>
            <w:shd w:val="clear" w:color="auto" w:fill="D9D9D9" w:themeFill="background1" w:themeFillShade="D9"/>
            <w:vAlign w:val="center"/>
          </w:tcPr>
          <w:p w:rsidR="00C37C75" w:rsidRPr="00707670" w:rsidRDefault="00C37C75" w:rsidP="00EB359D">
            <w:pPr>
              <w:pStyle w:val="TableText"/>
              <w:rPr>
                <w:b/>
              </w:rPr>
            </w:pPr>
            <w:r w:rsidRPr="00707670">
              <w:rPr>
                <w:b/>
              </w:rPr>
              <w:t>Name:</w:t>
            </w:r>
          </w:p>
        </w:tc>
        <w:tc>
          <w:tcPr>
            <w:tcW w:w="2786" w:type="dxa"/>
            <w:vAlign w:val="center"/>
          </w:tcPr>
          <w:p w:rsidR="00C37C75" w:rsidRPr="00707670" w:rsidRDefault="00C37C75" w:rsidP="00EB359D">
            <w:pPr>
              <w:pStyle w:val="TableText"/>
              <w:rPr>
                <w:b/>
              </w:rPr>
            </w:pPr>
          </w:p>
        </w:tc>
        <w:tc>
          <w:tcPr>
            <w:tcW w:w="728" w:type="dxa"/>
            <w:shd w:val="clear" w:color="auto" w:fill="D9D9D9" w:themeFill="background1" w:themeFillShade="D9"/>
            <w:vAlign w:val="center"/>
          </w:tcPr>
          <w:p w:rsidR="00C37C75" w:rsidRPr="00707670" w:rsidRDefault="00C37C75" w:rsidP="00EB359D">
            <w:pPr>
              <w:pStyle w:val="TableText"/>
              <w:rPr>
                <w:b/>
              </w:rPr>
            </w:pPr>
            <w:r w:rsidRPr="00707670">
              <w:rPr>
                <w:b/>
              </w:rPr>
              <w:t>Class:</w:t>
            </w:r>
          </w:p>
        </w:tc>
        <w:tc>
          <w:tcPr>
            <w:tcW w:w="3045" w:type="dxa"/>
            <w:vAlign w:val="center"/>
          </w:tcPr>
          <w:p w:rsidR="00C37C75" w:rsidRPr="00707670" w:rsidRDefault="00C37C75" w:rsidP="00EB359D">
            <w:pPr>
              <w:pStyle w:val="TableText"/>
              <w:rPr>
                <w:b/>
              </w:rPr>
            </w:pPr>
          </w:p>
        </w:tc>
        <w:tc>
          <w:tcPr>
            <w:tcW w:w="720" w:type="dxa"/>
            <w:shd w:val="clear" w:color="auto" w:fill="D9D9D9" w:themeFill="background1" w:themeFillShade="D9"/>
            <w:vAlign w:val="center"/>
          </w:tcPr>
          <w:p w:rsidR="00C37C75" w:rsidRPr="00707670" w:rsidRDefault="00C37C75" w:rsidP="00EB359D">
            <w:pPr>
              <w:pStyle w:val="TableText"/>
              <w:rPr>
                <w:b/>
              </w:rPr>
            </w:pPr>
            <w:r w:rsidRPr="00707670">
              <w:rPr>
                <w:b/>
              </w:rPr>
              <w:t>Date:</w:t>
            </w:r>
          </w:p>
        </w:tc>
        <w:tc>
          <w:tcPr>
            <w:tcW w:w="1373" w:type="dxa"/>
            <w:vAlign w:val="center"/>
          </w:tcPr>
          <w:p w:rsidR="00C37C75" w:rsidRPr="00707670" w:rsidRDefault="00C37C75" w:rsidP="00EB359D">
            <w:pPr>
              <w:pStyle w:val="TableText"/>
              <w:rPr>
                <w:b/>
              </w:rPr>
            </w:pPr>
          </w:p>
        </w:tc>
      </w:tr>
    </w:tbl>
    <w:p w:rsidR="00100378" w:rsidRDefault="00100378" w:rsidP="00C37C75">
      <w:pPr>
        <w:spacing w:before="0" w:after="0"/>
        <w:rPr>
          <w:sz w:val="10"/>
        </w:rPr>
      </w:pPr>
    </w:p>
    <w:tbl>
      <w:tblPr>
        <w:tblStyle w:val="TableGrid"/>
        <w:tblW w:w="0" w:type="auto"/>
        <w:tblLook w:val="04A0"/>
      </w:tblPr>
      <w:tblGrid>
        <w:gridCol w:w="9468"/>
      </w:tblGrid>
      <w:tr w:rsidR="00C33257" w:rsidRPr="00707670" w:rsidTr="003E57E9">
        <w:trPr>
          <w:trHeight w:val="562"/>
        </w:trPr>
        <w:tc>
          <w:tcPr>
            <w:tcW w:w="9468" w:type="dxa"/>
            <w:shd w:val="clear" w:color="auto" w:fill="D9D9D9" w:themeFill="background1" w:themeFillShade="D9"/>
            <w:vAlign w:val="center"/>
          </w:tcPr>
          <w:p w:rsidR="00C33257" w:rsidRPr="00C33257" w:rsidRDefault="00C33257" w:rsidP="00100378">
            <w:pPr>
              <w:pStyle w:val="ToolTableText"/>
              <w:rPr>
                <w:b/>
              </w:rPr>
            </w:pPr>
            <w:r>
              <w:rPr>
                <w:b/>
              </w:rPr>
              <w:t>Directions</w:t>
            </w:r>
            <w:r w:rsidRPr="00C1224F">
              <w:rPr>
                <w:b/>
              </w:rPr>
              <w:t>:</w:t>
            </w:r>
            <w:r>
              <w:rPr>
                <w:b/>
              </w:rPr>
              <w:t xml:space="preserve"> </w:t>
            </w:r>
            <w:r w:rsidRPr="00C33257">
              <w:t>Identify and record each of the following elements of the author’s argument in the text (or portion of text): central claim, supporting claims, evidence, and reasoning. Remember that evidence supports claims and reasoning connects evidence to a claim. Reasoning also may explain the relationship among claims or across evidence.</w:t>
            </w:r>
          </w:p>
        </w:tc>
      </w:tr>
    </w:tbl>
    <w:p w:rsidR="003E3138" w:rsidRDefault="003E3138" w:rsidP="00C37C75">
      <w:pPr>
        <w:spacing w:before="0" w:after="0"/>
        <w:rPr>
          <w:sz w:val="10"/>
        </w:rPr>
      </w:pPr>
    </w:p>
    <w:tbl>
      <w:tblPr>
        <w:tblStyle w:val="TableGrid"/>
        <w:tblW w:w="0" w:type="auto"/>
        <w:tblLook w:val="04A0"/>
      </w:tblPr>
      <w:tblGrid>
        <w:gridCol w:w="738"/>
        <w:gridCol w:w="8730"/>
      </w:tblGrid>
      <w:tr w:rsidR="003E3138" w:rsidRPr="00E003CD">
        <w:trPr>
          <w:trHeight w:val="557"/>
        </w:trPr>
        <w:tc>
          <w:tcPr>
            <w:tcW w:w="738" w:type="dxa"/>
            <w:shd w:val="clear" w:color="auto" w:fill="D9D9D9" w:themeFill="background1" w:themeFillShade="D9"/>
            <w:vAlign w:val="center"/>
          </w:tcPr>
          <w:p w:rsidR="003E3138" w:rsidRPr="00E003CD" w:rsidRDefault="003E3138" w:rsidP="00E003CD">
            <w:pPr>
              <w:pStyle w:val="ToolTableText"/>
              <w:rPr>
                <w:b/>
              </w:rPr>
            </w:pPr>
            <w:r w:rsidRPr="00E003CD">
              <w:rPr>
                <w:b/>
              </w:rPr>
              <w:t>Text:</w:t>
            </w:r>
          </w:p>
        </w:tc>
        <w:tc>
          <w:tcPr>
            <w:tcW w:w="8730" w:type="dxa"/>
            <w:vAlign w:val="center"/>
          </w:tcPr>
          <w:p w:rsidR="003E3138" w:rsidRPr="001050A8" w:rsidRDefault="003E3138" w:rsidP="00E003CD">
            <w:pPr>
              <w:pStyle w:val="ToolTableText"/>
            </w:pPr>
            <w:r w:rsidRPr="001050A8">
              <w:t>“Letter from Birmingham Jail”</w:t>
            </w:r>
          </w:p>
        </w:tc>
      </w:tr>
    </w:tbl>
    <w:p w:rsidR="003E3138" w:rsidRDefault="003E3138" w:rsidP="00C37C75">
      <w:pPr>
        <w:spacing w:before="0" w:after="0"/>
        <w:rPr>
          <w:sz w:val="10"/>
        </w:rPr>
      </w:pPr>
    </w:p>
    <w:tbl>
      <w:tblPr>
        <w:tblStyle w:val="TableGrid"/>
        <w:tblW w:w="0" w:type="auto"/>
        <w:tblLook w:val="04A0"/>
      </w:tblPr>
      <w:tblGrid>
        <w:gridCol w:w="9468"/>
      </w:tblGrid>
      <w:tr w:rsidR="00C37C75" w:rsidRPr="00707670">
        <w:trPr>
          <w:trHeight w:val="432"/>
        </w:trPr>
        <w:tc>
          <w:tcPr>
            <w:tcW w:w="9468" w:type="dxa"/>
            <w:shd w:val="clear" w:color="auto" w:fill="auto"/>
            <w:vAlign w:val="center"/>
          </w:tcPr>
          <w:p w:rsidR="00C37C75" w:rsidRPr="00E003CD" w:rsidRDefault="00C37C75" w:rsidP="00AE2EA4">
            <w:pPr>
              <w:pStyle w:val="ToolTableText"/>
              <w:spacing w:after="0"/>
              <w:rPr>
                <w:b/>
              </w:rPr>
            </w:pPr>
            <w:r w:rsidRPr="00E003CD">
              <w:rPr>
                <w:b/>
              </w:rPr>
              <w:t>Central Claim:</w:t>
            </w:r>
          </w:p>
          <w:p w:rsidR="00C37C75" w:rsidRPr="007B2F6F" w:rsidRDefault="007C0F94" w:rsidP="00E003CD">
            <w:pPr>
              <w:pStyle w:val="ToolTableText"/>
            </w:pPr>
            <w:r w:rsidRPr="007B2F6F">
              <w:t>African Americans cannot wait to secure their civil rights and most immediately engage in “determined legal and nonviolent pressure”</w:t>
            </w:r>
            <w:r w:rsidR="003E3138" w:rsidRPr="007B2F6F">
              <w:t xml:space="preserve"> (par. 10).</w:t>
            </w:r>
          </w:p>
        </w:tc>
      </w:tr>
    </w:tbl>
    <w:p w:rsidR="00C37C75" w:rsidRPr="00646088" w:rsidRDefault="00C37C75" w:rsidP="00C37C75">
      <w:pPr>
        <w:spacing w:before="0" w:after="0"/>
        <w:rPr>
          <w:sz w:val="10"/>
        </w:rPr>
      </w:pPr>
    </w:p>
    <w:tbl>
      <w:tblPr>
        <w:tblStyle w:val="TableGrid"/>
        <w:tblW w:w="9468" w:type="dxa"/>
        <w:tblLook w:val="04A0"/>
      </w:tblPr>
      <w:tblGrid>
        <w:gridCol w:w="4158"/>
        <w:gridCol w:w="2340"/>
        <w:gridCol w:w="2970"/>
      </w:tblGrid>
      <w:tr w:rsidR="00C37C75" w:rsidRPr="00646088">
        <w:tc>
          <w:tcPr>
            <w:tcW w:w="9468" w:type="dxa"/>
            <w:gridSpan w:val="3"/>
            <w:shd w:val="clear" w:color="auto" w:fill="D9D9D9" w:themeFill="background1" w:themeFillShade="D9"/>
          </w:tcPr>
          <w:p w:rsidR="00C37C75" w:rsidRDefault="00C37C75" w:rsidP="00EB359D">
            <w:pPr>
              <w:pStyle w:val="ToolTableText"/>
              <w:rPr>
                <w:b/>
              </w:rPr>
            </w:pPr>
            <w:r>
              <w:rPr>
                <w:b/>
              </w:rPr>
              <w:t>Supporting Claim:</w:t>
            </w:r>
          </w:p>
        </w:tc>
      </w:tr>
      <w:tr w:rsidR="00C37C75">
        <w:trPr>
          <w:trHeight w:val="575"/>
        </w:trPr>
        <w:tc>
          <w:tcPr>
            <w:tcW w:w="9468" w:type="dxa"/>
            <w:gridSpan w:val="3"/>
          </w:tcPr>
          <w:p w:rsidR="00C37C75" w:rsidRDefault="007C0F94" w:rsidP="00EB359D">
            <w:pPr>
              <w:pStyle w:val="ToolTableText"/>
            </w:pPr>
            <w:r>
              <w:t>“We will be sadly mistaken if we feel that the election of Mr. Boutwell will bring the millennium to Birmingham.”</w:t>
            </w:r>
            <w:r w:rsidR="00AE2EA4">
              <w:t xml:space="preserve"> (par. 11)</w:t>
            </w:r>
          </w:p>
        </w:tc>
      </w:tr>
      <w:tr w:rsidR="00C37C75">
        <w:trPr>
          <w:trHeight w:val="720"/>
        </w:trPr>
        <w:tc>
          <w:tcPr>
            <w:tcW w:w="4158" w:type="dxa"/>
            <w:shd w:val="clear" w:color="auto" w:fill="D9D9D9" w:themeFill="background1" w:themeFillShade="D9"/>
          </w:tcPr>
          <w:p w:rsidR="00C37C75" w:rsidRPr="005E5940" w:rsidRDefault="00C37C75" w:rsidP="00AE2EA4">
            <w:pPr>
              <w:pStyle w:val="ToolTableText"/>
              <w:spacing w:before="0" w:after="0"/>
              <w:rPr>
                <w:b/>
              </w:rPr>
            </w:pPr>
            <w:r w:rsidRPr="005E5940">
              <w:rPr>
                <w:b/>
              </w:rPr>
              <w:t>Evidence:</w:t>
            </w:r>
          </w:p>
        </w:tc>
        <w:tc>
          <w:tcPr>
            <w:tcW w:w="2340" w:type="dxa"/>
            <w:shd w:val="clear" w:color="auto" w:fill="D9D9D9" w:themeFill="background1" w:themeFillShade="D9"/>
          </w:tcPr>
          <w:p w:rsidR="00C37C75" w:rsidRPr="005E5940" w:rsidRDefault="00C37C75" w:rsidP="00AE2EA4">
            <w:pPr>
              <w:pStyle w:val="ToolTableText"/>
              <w:spacing w:before="0" w:after="0"/>
              <w:rPr>
                <w:b/>
              </w:rPr>
            </w:pPr>
            <w:r w:rsidRPr="005E5940">
              <w:rPr>
                <w:b/>
              </w:rPr>
              <w:t>Explain how the evidence is relevant:</w:t>
            </w:r>
          </w:p>
        </w:tc>
        <w:tc>
          <w:tcPr>
            <w:tcW w:w="2970" w:type="dxa"/>
            <w:shd w:val="clear" w:color="auto" w:fill="D9D9D9" w:themeFill="background1" w:themeFillShade="D9"/>
          </w:tcPr>
          <w:p w:rsidR="00C37C75" w:rsidRPr="005E5940" w:rsidRDefault="00C37C75" w:rsidP="00AE2EA4">
            <w:pPr>
              <w:spacing w:before="0" w:after="0" w:line="240" w:lineRule="auto"/>
              <w:rPr>
                <w:b/>
              </w:rPr>
            </w:pPr>
            <w:r w:rsidRPr="005E5940">
              <w:rPr>
                <w:b/>
              </w:rPr>
              <w:t>Explain whether the evidence is sufficient:</w:t>
            </w:r>
          </w:p>
        </w:tc>
      </w:tr>
      <w:tr w:rsidR="00C37C75">
        <w:tc>
          <w:tcPr>
            <w:tcW w:w="4158" w:type="dxa"/>
          </w:tcPr>
          <w:p w:rsidR="00C37C75" w:rsidRDefault="007C0F94" w:rsidP="00E003CD">
            <w:pPr>
              <w:pStyle w:val="ToolTableText"/>
            </w:pPr>
            <w:r>
              <w:t>He is a segregationist interested in “maintaining the status quo”</w:t>
            </w:r>
            <w:r w:rsidR="003E3138">
              <w:t xml:space="preserve"> (par. 10).</w:t>
            </w:r>
          </w:p>
        </w:tc>
        <w:tc>
          <w:tcPr>
            <w:tcW w:w="2340" w:type="dxa"/>
          </w:tcPr>
          <w:p w:rsidR="00C37C75" w:rsidRDefault="00FE66C4" w:rsidP="00E003CD">
            <w:pPr>
              <w:pStyle w:val="ToolTableText"/>
            </w:pPr>
            <w:r>
              <w:t>The evidence</w:t>
            </w:r>
            <w:r w:rsidR="001531EC">
              <w:t xml:space="preserve"> </w:t>
            </w:r>
            <w:r>
              <w:t>shows</w:t>
            </w:r>
            <w:r w:rsidR="001531EC">
              <w:t xml:space="preserve"> why African Americans cannot expect Mr. Boutwell to desegregate Birmingham on his own.</w:t>
            </w:r>
          </w:p>
        </w:tc>
        <w:tc>
          <w:tcPr>
            <w:tcW w:w="2970" w:type="dxa"/>
          </w:tcPr>
          <w:p w:rsidR="00C37C75" w:rsidRDefault="001531EC" w:rsidP="00E003CD">
            <w:pPr>
              <w:pStyle w:val="ToolTableText"/>
            </w:pPr>
            <w:r>
              <w:t>The evidence is sufficient because it shows exactly why Mr. Boutwell is not interested in desegregation.</w:t>
            </w:r>
          </w:p>
        </w:tc>
      </w:tr>
      <w:tr w:rsidR="00C37C75">
        <w:trPr>
          <w:trHeight w:val="720"/>
        </w:trPr>
        <w:tc>
          <w:tcPr>
            <w:tcW w:w="6498" w:type="dxa"/>
            <w:gridSpan w:val="2"/>
            <w:shd w:val="clear" w:color="auto" w:fill="D9D9D9" w:themeFill="background1" w:themeFillShade="D9"/>
          </w:tcPr>
          <w:p w:rsidR="00C37C75" w:rsidRPr="005E5940" w:rsidRDefault="00C37C75" w:rsidP="00AE2EA4">
            <w:pPr>
              <w:pStyle w:val="ToolTableText"/>
              <w:spacing w:after="0"/>
              <w:rPr>
                <w:b/>
              </w:rPr>
            </w:pPr>
            <w:r w:rsidRPr="005E5940">
              <w:rPr>
                <w:b/>
              </w:rPr>
              <w:t>Reasoning:</w:t>
            </w:r>
          </w:p>
        </w:tc>
        <w:tc>
          <w:tcPr>
            <w:tcW w:w="2970" w:type="dxa"/>
            <w:shd w:val="clear" w:color="auto" w:fill="D9D9D9" w:themeFill="background1" w:themeFillShade="D9"/>
          </w:tcPr>
          <w:p w:rsidR="00C37C75" w:rsidRPr="005E5940" w:rsidRDefault="00C37C75" w:rsidP="00AE2EA4">
            <w:pPr>
              <w:pStyle w:val="ToolTableText"/>
              <w:spacing w:after="0"/>
              <w:rPr>
                <w:b/>
              </w:rPr>
            </w:pPr>
            <w:r w:rsidRPr="005E5940">
              <w:rPr>
                <w:b/>
              </w:rPr>
              <w:t>Explain whether the reasoning is valid:</w:t>
            </w:r>
          </w:p>
        </w:tc>
      </w:tr>
      <w:tr w:rsidR="00C37C75">
        <w:tc>
          <w:tcPr>
            <w:tcW w:w="6498" w:type="dxa"/>
            <w:gridSpan w:val="2"/>
            <w:shd w:val="clear" w:color="auto" w:fill="FFFFFF" w:themeFill="background1"/>
          </w:tcPr>
          <w:p w:rsidR="00C37C75" w:rsidRDefault="007C0F94" w:rsidP="00EB359D">
            <w:pPr>
              <w:pStyle w:val="ToolTableText"/>
            </w:pPr>
            <w:r>
              <w:t>If he’s a segregationist then he is unlikely to desegregate Birmingham “without pressure from the devotees of civil rights”</w:t>
            </w:r>
            <w:r w:rsidR="003E3138">
              <w:t xml:space="preserve"> (par. 10).</w:t>
            </w:r>
          </w:p>
        </w:tc>
        <w:tc>
          <w:tcPr>
            <w:tcW w:w="2970" w:type="dxa"/>
            <w:shd w:val="clear" w:color="auto" w:fill="FFFFFF" w:themeFill="background1"/>
          </w:tcPr>
          <w:p w:rsidR="00C37C75" w:rsidRDefault="00EF3542" w:rsidP="00EB359D">
            <w:pPr>
              <w:pStyle w:val="ToolTableText"/>
            </w:pPr>
            <w:r>
              <w:t>Yes, this reasoning is connected to the claims.</w:t>
            </w:r>
          </w:p>
        </w:tc>
      </w:tr>
      <w:tr w:rsidR="00C37C75" w:rsidRPr="00646088">
        <w:tc>
          <w:tcPr>
            <w:tcW w:w="9468" w:type="dxa"/>
            <w:gridSpan w:val="3"/>
            <w:shd w:val="clear" w:color="auto" w:fill="D9D9D9" w:themeFill="background1" w:themeFillShade="D9"/>
          </w:tcPr>
          <w:p w:rsidR="00C37C75" w:rsidRDefault="00C37C75" w:rsidP="00EB359D">
            <w:pPr>
              <w:pStyle w:val="ToolTableText"/>
              <w:rPr>
                <w:b/>
              </w:rPr>
            </w:pPr>
            <w:r>
              <w:rPr>
                <w:b/>
              </w:rPr>
              <w:t>Supporting Claim:</w:t>
            </w:r>
          </w:p>
        </w:tc>
      </w:tr>
      <w:tr w:rsidR="00C37C75">
        <w:tc>
          <w:tcPr>
            <w:tcW w:w="9468" w:type="dxa"/>
            <w:gridSpan w:val="3"/>
          </w:tcPr>
          <w:p w:rsidR="00C37C75" w:rsidRDefault="001531EC" w:rsidP="001531EC">
            <w:pPr>
              <w:pStyle w:val="ToolTableText"/>
            </w:pPr>
            <w:r>
              <w:t>Whites must be pressured to “give up their privileges” and to desegregate</w:t>
            </w:r>
            <w:r w:rsidR="00EF3542">
              <w:t xml:space="preserve"> (par. 10)</w:t>
            </w:r>
            <w:r>
              <w:t>.</w:t>
            </w:r>
          </w:p>
        </w:tc>
      </w:tr>
    </w:tbl>
    <w:p w:rsidR="00734C31" w:rsidRDefault="00734C31"/>
    <w:tbl>
      <w:tblPr>
        <w:tblStyle w:val="TableGrid"/>
        <w:tblW w:w="9468" w:type="dxa"/>
        <w:tblLook w:val="04A0"/>
      </w:tblPr>
      <w:tblGrid>
        <w:gridCol w:w="4158"/>
        <w:gridCol w:w="2340"/>
        <w:gridCol w:w="2970"/>
      </w:tblGrid>
      <w:tr w:rsidR="00C37C75">
        <w:trPr>
          <w:trHeight w:val="720"/>
        </w:trPr>
        <w:tc>
          <w:tcPr>
            <w:tcW w:w="4158" w:type="dxa"/>
            <w:shd w:val="clear" w:color="auto" w:fill="D9D9D9" w:themeFill="background1" w:themeFillShade="D9"/>
          </w:tcPr>
          <w:p w:rsidR="00C37C75" w:rsidRPr="005E5940" w:rsidRDefault="00C37C75" w:rsidP="00AE2EA4">
            <w:pPr>
              <w:pStyle w:val="ToolTableText"/>
              <w:spacing w:before="0" w:after="0"/>
              <w:rPr>
                <w:b/>
              </w:rPr>
            </w:pPr>
            <w:r w:rsidRPr="005E5940">
              <w:rPr>
                <w:b/>
              </w:rPr>
              <w:t>Evidence:</w:t>
            </w:r>
          </w:p>
        </w:tc>
        <w:tc>
          <w:tcPr>
            <w:tcW w:w="2340" w:type="dxa"/>
            <w:shd w:val="clear" w:color="auto" w:fill="D9D9D9" w:themeFill="background1" w:themeFillShade="D9"/>
          </w:tcPr>
          <w:p w:rsidR="00C37C75" w:rsidRPr="005E5940" w:rsidRDefault="00C37C75" w:rsidP="00AE2EA4">
            <w:pPr>
              <w:pStyle w:val="ToolTableText"/>
              <w:spacing w:before="0" w:after="0"/>
              <w:rPr>
                <w:b/>
              </w:rPr>
            </w:pPr>
            <w:r w:rsidRPr="005E5940">
              <w:rPr>
                <w:b/>
              </w:rPr>
              <w:t>Explain how the evidence is relevant:</w:t>
            </w:r>
          </w:p>
        </w:tc>
        <w:tc>
          <w:tcPr>
            <w:tcW w:w="2970" w:type="dxa"/>
            <w:shd w:val="clear" w:color="auto" w:fill="D9D9D9" w:themeFill="background1" w:themeFillShade="D9"/>
          </w:tcPr>
          <w:p w:rsidR="00C37C75" w:rsidRPr="005E5940" w:rsidRDefault="00C37C75" w:rsidP="00AE2EA4">
            <w:pPr>
              <w:spacing w:before="0" w:after="0" w:line="240" w:lineRule="auto"/>
              <w:rPr>
                <w:b/>
              </w:rPr>
            </w:pPr>
            <w:r w:rsidRPr="005E5940">
              <w:rPr>
                <w:b/>
              </w:rPr>
              <w:t>Explain whether the evidence is sufficient:</w:t>
            </w:r>
          </w:p>
        </w:tc>
      </w:tr>
      <w:tr w:rsidR="00C37C75">
        <w:tc>
          <w:tcPr>
            <w:tcW w:w="4158" w:type="dxa"/>
          </w:tcPr>
          <w:p w:rsidR="007C0F94" w:rsidRDefault="007C0F94" w:rsidP="00E003CD">
            <w:pPr>
              <w:pStyle w:val="ToolTableText"/>
            </w:pPr>
            <w:r>
              <w:t>“History is the long and tragic story of the fact that privileged groups seldom give up their privileges voluntarily.”</w:t>
            </w:r>
            <w:r w:rsidR="00EF3542">
              <w:t xml:space="preserve"> (par. 10)</w:t>
            </w:r>
          </w:p>
          <w:p w:rsidR="00C37C75" w:rsidRDefault="007C0F94" w:rsidP="003243CE">
            <w:pPr>
              <w:pStyle w:val="ToolTableText"/>
            </w:pPr>
            <w:r>
              <w:t>“we have not made a single gain in civil rights without determined legal and nonviolent pressure.”</w:t>
            </w:r>
            <w:r w:rsidR="00EF3542">
              <w:t xml:space="preserve"> (par. 10)</w:t>
            </w:r>
          </w:p>
        </w:tc>
        <w:tc>
          <w:tcPr>
            <w:tcW w:w="2340" w:type="dxa"/>
          </w:tcPr>
          <w:p w:rsidR="00C37C75" w:rsidRDefault="001531EC" w:rsidP="00E003CD">
            <w:pPr>
              <w:pStyle w:val="ToolTableText"/>
            </w:pPr>
            <w:r>
              <w:t>The evidence is relevant because it provides a historical precedent for why whites must be pressure</w:t>
            </w:r>
            <w:r w:rsidR="00FE66C4">
              <w:t>d</w:t>
            </w:r>
            <w:r>
              <w:t>.</w:t>
            </w:r>
          </w:p>
        </w:tc>
        <w:tc>
          <w:tcPr>
            <w:tcW w:w="2970" w:type="dxa"/>
          </w:tcPr>
          <w:p w:rsidR="00C37C75" w:rsidRDefault="001531EC" w:rsidP="00E003CD">
            <w:pPr>
              <w:pStyle w:val="ToolTableText"/>
            </w:pPr>
            <w:r>
              <w:t>The evidence is sufficient because it shows why whites will not give up their privilege voluntarily.</w:t>
            </w:r>
          </w:p>
        </w:tc>
      </w:tr>
      <w:tr w:rsidR="00C37C75">
        <w:tc>
          <w:tcPr>
            <w:tcW w:w="6498" w:type="dxa"/>
            <w:gridSpan w:val="2"/>
            <w:shd w:val="clear" w:color="auto" w:fill="D9D9D9" w:themeFill="background1" w:themeFillShade="D9"/>
          </w:tcPr>
          <w:p w:rsidR="00C37C75" w:rsidRPr="005E5940" w:rsidRDefault="00C37C75" w:rsidP="00EB359D">
            <w:pPr>
              <w:pStyle w:val="ToolTableText"/>
              <w:rPr>
                <w:b/>
              </w:rPr>
            </w:pPr>
            <w:r w:rsidRPr="005E5940">
              <w:rPr>
                <w:b/>
              </w:rPr>
              <w:t>Reasoning:</w:t>
            </w:r>
          </w:p>
        </w:tc>
        <w:tc>
          <w:tcPr>
            <w:tcW w:w="2970" w:type="dxa"/>
            <w:shd w:val="clear" w:color="auto" w:fill="D9D9D9" w:themeFill="background1" w:themeFillShade="D9"/>
          </w:tcPr>
          <w:p w:rsidR="00C37C75" w:rsidRPr="005E5940" w:rsidRDefault="00C37C75" w:rsidP="00EB359D">
            <w:pPr>
              <w:pStyle w:val="ToolTableText"/>
              <w:rPr>
                <w:b/>
              </w:rPr>
            </w:pPr>
            <w:r w:rsidRPr="005E5940">
              <w:rPr>
                <w:b/>
              </w:rPr>
              <w:t>Explain whether the reasoning is valid:</w:t>
            </w:r>
          </w:p>
        </w:tc>
      </w:tr>
      <w:tr w:rsidR="00C37C75">
        <w:tc>
          <w:tcPr>
            <w:tcW w:w="6498" w:type="dxa"/>
            <w:gridSpan w:val="2"/>
            <w:shd w:val="clear" w:color="auto" w:fill="FFFFFF" w:themeFill="background1"/>
          </w:tcPr>
          <w:p w:rsidR="00C37C75" w:rsidRPr="00E003CD" w:rsidRDefault="007C0F94" w:rsidP="00E003CD">
            <w:pPr>
              <w:pStyle w:val="ToolTableText"/>
            </w:pPr>
            <w:r w:rsidRPr="00E003CD">
              <w:t>Because privileged groups do not voluntarily relinquish their privileges and because African Americans have yet to make progress without determined work, then they cannot expect any of their rights to simply be given to them.</w:t>
            </w:r>
          </w:p>
        </w:tc>
        <w:tc>
          <w:tcPr>
            <w:tcW w:w="2970" w:type="dxa"/>
            <w:shd w:val="clear" w:color="auto" w:fill="FFFFFF" w:themeFill="background1"/>
          </w:tcPr>
          <w:p w:rsidR="00C37C75" w:rsidRPr="00E003CD" w:rsidRDefault="001531EC" w:rsidP="00E003CD">
            <w:pPr>
              <w:pStyle w:val="ToolTableText"/>
            </w:pPr>
            <w:r w:rsidRPr="00E003CD">
              <w:t>The reasoning is valid because it draws on and connects both the supporting claim and the evidence.</w:t>
            </w:r>
          </w:p>
        </w:tc>
      </w:tr>
      <w:tr w:rsidR="004F189F">
        <w:tc>
          <w:tcPr>
            <w:tcW w:w="9468" w:type="dxa"/>
            <w:gridSpan w:val="3"/>
            <w:shd w:val="clear" w:color="auto" w:fill="D9D9D9" w:themeFill="background1" w:themeFillShade="D9"/>
          </w:tcPr>
          <w:p w:rsidR="004F189F" w:rsidRDefault="004F189F" w:rsidP="004F189F">
            <w:pPr>
              <w:pStyle w:val="ToolTableText"/>
              <w:rPr>
                <w:b/>
              </w:rPr>
            </w:pPr>
            <w:r>
              <w:rPr>
                <w:b/>
              </w:rPr>
              <w:t>Supporting Claim:</w:t>
            </w:r>
          </w:p>
        </w:tc>
      </w:tr>
      <w:tr w:rsidR="004F189F">
        <w:tc>
          <w:tcPr>
            <w:tcW w:w="9468" w:type="dxa"/>
            <w:gridSpan w:val="3"/>
          </w:tcPr>
          <w:p w:rsidR="004F189F" w:rsidRDefault="004F189F" w:rsidP="004F189F">
            <w:pPr>
              <w:pStyle w:val="ToolTableText"/>
            </w:pPr>
            <w:r>
              <w:t>“We know through painful experience that freedom is never voluntarily given by the oppressor; it mu</w:t>
            </w:r>
            <w:r w:rsidR="00CD41BF">
              <w:t>st be demanded by the oppressed.”(par. 11)</w:t>
            </w:r>
          </w:p>
        </w:tc>
      </w:tr>
      <w:tr w:rsidR="004F189F" w:rsidRPr="005E5940">
        <w:trPr>
          <w:trHeight w:val="656"/>
        </w:trPr>
        <w:tc>
          <w:tcPr>
            <w:tcW w:w="4158" w:type="dxa"/>
            <w:shd w:val="clear" w:color="auto" w:fill="D9D9D9" w:themeFill="background1" w:themeFillShade="D9"/>
          </w:tcPr>
          <w:p w:rsidR="004F189F" w:rsidRPr="00D011A1" w:rsidRDefault="004F189F" w:rsidP="004F189F">
            <w:pPr>
              <w:pStyle w:val="ToolTableText"/>
              <w:rPr>
                <w:b/>
              </w:rPr>
            </w:pPr>
            <w:r>
              <w:rPr>
                <w:b/>
              </w:rPr>
              <w:t xml:space="preserve">Evidence: </w:t>
            </w:r>
          </w:p>
        </w:tc>
        <w:tc>
          <w:tcPr>
            <w:tcW w:w="2340" w:type="dxa"/>
            <w:shd w:val="clear" w:color="auto" w:fill="D9D9D9" w:themeFill="background1" w:themeFillShade="D9"/>
          </w:tcPr>
          <w:p w:rsidR="004F189F" w:rsidRPr="005E5940" w:rsidRDefault="004F189F" w:rsidP="004F189F">
            <w:pPr>
              <w:pStyle w:val="ToolTableText"/>
              <w:rPr>
                <w:b/>
              </w:rPr>
            </w:pPr>
            <w:r w:rsidRPr="005E5940">
              <w:rPr>
                <w:b/>
              </w:rPr>
              <w:t>Explain how the evidence is relevant:</w:t>
            </w:r>
          </w:p>
        </w:tc>
        <w:tc>
          <w:tcPr>
            <w:tcW w:w="2970" w:type="dxa"/>
            <w:shd w:val="clear" w:color="auto" w:fill="D9D9D9" w:themeFill="background1" w:themeFillShade="D9"/>
          </w:tcPr>
          <w:p w:rsidR="004F189F" w:rsidRPr="005E5940" w:rsidRDefault="004F189F" w:rsidP="004F189F">
            <w:pPr>
              <w:spacing w:line="240" w:lineRule="auto"/>
              <w:rPr>
                <w:b/>
              </w:rPr>
            </w:pPr>
            <w:r w:rsidRPr="005E5940">
              <w:rPr>
                <w:b/>
              </w:rPr>
              <w:t>Explain whether the evidence is sufficient:</w:t>
            </w:r>
          </w:p>
        </w:tc>
      </w:tr>
      <w:tr w:rsidR="004F189F">
        <w:tc>
          <w:tcPr>
            <w:tcW w:w="4158" w:type="dxa"/>
          </w:tcPr>
          <w:p w:rsidR="004F189F" w:rsidRDefault="004F189F" w:rsidP="00E003CD">
            <w:pPr>
              <w:pStyle w:val="ToolTableText"/>
            </w:pPr>
            <w:r>
              <w:t>“Frankly, I have never yet engaged in a direct-action movement that was ‘well timed’ according to the timetable of those who have not suffered unduly from the disease of segregation.” (par. 11)</w:t>
            </w:r>
          </w:p>
          <w:p w:rsidR="004F189F" w:rsidRDefault="004F189F" w:rsidP="00E003CD">
            <w:pPr>
              <w:pStyle w:val="ToolTableText"/>
            </w:pPr>
            <w:r>
              <w:t>“This ‘wait’ has almost always meant ‘never’.”(par. 11)</w:t>
            </w:r>
          </w:p>
        </w:tc>
        <w:tc>
          <w:tcPr>
            <w:tcW w:w="2340" w:type="dxa"/>
          </w:tcPr>
          <w:p w:rsidR="004F189F" w:rsidRDefault="004F189F" w:rsidP="00E003CD">
            <w:pPr>
              <w:pStyle w:val="ToolTableText"/>
            </w:pPr>
            <w:r>
              <w:t>The evidence shows that freedom must be demanded by African Americans because whites will always say, “Wait.”</w:t>
            </w:r>
          </w:p>
        </w:tc>
        <w:tc>
          <w:tcPr>
            <w:tcW w:w="2970" w:type="dxa"/>
          </w:tcPr>
          <w:p w:rsidR="004F189F" w:rsidRDefault="004F189F" w:rsidP="00E003CD">
            <w:pPr>
              <w:pStyle w:val="ToolTableText"/>
            </w:pPr>
            <w:r>
              <w:t>It is sufficient because it shows why African Americans must demand their freedom rather than wait for it to be given voluntarily.</w:t>
            </w:r>
          </w:p>
        </w:tc>
      </w:tr>
      <w:tr w:rsidR="004F189F" w:rsidRPr="005E5940">
        <w:tc>
          <w:tcPr>
            <w:tcW w:w="6498" w:type="dxa"/>
            <w:gridSpan w:val="2"/>
            <w:shd w:val="clear" w:color="auto" w:fill="D9D9D9" w:themeFill="background1" w:themeFillShade="D9"/>
          </w:tcPr>
          <w:p w:rsidR="004F189F" w:rsidRPr="005E5940" w:rsidRDefault="004F189F" w:rsidP="004F189F">
            <w:pPr>
              <w:pStyle w:val="ToolTableText"/>
              <w:rPr>
                <w:b/>
              </w:rPr>
            </w:pPr>
            <w:r w:rsidRPr="005E5940">
              <w:rPr>
                <w:b/>
              </w:rPr>
              <w:t>Reasoning:</w:t>
            </w:r>
          </w:p>
        </w:tc>
        <w:tc>
          <w:tcPr>
            <w:tcW w:w="2970" w:type="dxa"/>
            <w:shd w:val="clear" w:color="auto" w:fill="D9D9D9" w:themeFill="background1" w:themeFillShade="D9"/>
          </w:tcPr>
          <w:p w:rsidR="004F189F" w:rsidRPr="005E5940" w:rsidRDefault="004F189F" w:rsidP="004F189F">
            <w:pPr>
              <w:pStyle w:val="ToolTableText"/>
              <w:rPr>
                <w:b/>
              </w:rPr>
            </w:pPr>
            <w:r w:rsidRPr="005E5940">
              <w:rPr>
                <w:b/>
              </w:rPr>
              <w:t>Explain whether the reasoning is valid:</w:t>
            </w:r>
          </w:p>
        </w:tc>
      </w:tr>
      <w:tr w:rsidR="004F189F">
        <w:tc>
          <w:tcPr>
            <w:tcW w:w="6498" w:type="dxa"/>
            <w:gridSpan w:val="2"/>
            <w:shd w:val="clear" w:color="auto" w:fill="FFFFFF" w:themeFill="background1"/>
          </w:tcPr>
          <w:p w:rsidR="004F189F" w:rsidRDefault="004F189F" w:rsidP="003C1B2E">
            <w:pPr>
              <w:pStyle w:val="ToolTableText"/>
            </w:pPr>
            <w:r>
              <w:t xml:space="preserve">Whites will always say, “Wait,” </w:t>
            </w:r>
            <w:r w:rsidR="003C1B2E">
              <w:t xml:space="preserve">(par. 11) </w:t>
            </w:r>
            <w:r>
              <w:t>when it comes to giving African Americans their freedom when what they really mean is “Never”</w:t>
            </w:r>
            <w:r w:rsidR="003C1B2E">
              <w:t xml:space="preserve"> (par. 11).</w:t>
            </w:r>
            <w:r>
              <w:t xml:space="preserve"> So, African Americans must demand their freedom,</w:t>
            </w:r>
            <w:r w:rsidR="00CD41BF">
              <w:t xml:space="preserve"> otherwise it will never happen</w:t>
            </w:r>
            <w:r>
              <w:t>.</w:t>
            </w:r>
          </w:p>
        </w:tc>
        <w:tc>
          <w:tcPr>
            <w:tcW w:w="2970" w:type="dxa"/>
            <w:shd w:val="clear" w:color="auto" w:fill="FFFFFF" w:themeFill="background1"/>
          </w:tcPr>
          <w:p w:rsidR="004F189F" w:rsidRDefault="004F189F" w:rsidP="004F189F">
            <w:pPr>
              <w:pStyle w:val="ToolTableText"/>
            </w:pPr>
            <w:r>
              <w:t>The reasoning is valid because it draws on and connects both the supporting claim and the evidence.</w:t>
            </w:r>
          </w:p>
        </w:tc>
      </w:tr>
      <w:tr w:rsidR="004F189F">
        <w:tc>
          <w:tcPr>
            <w:tcW w:w="9468" w:type="dxa"/>
            <w:gridSpan w:val="3"/>
            <w:shd w:val="clear" w:color="auto" w:fill="D9D9D9" w:themeFill="background1" w:themeFillShade="D9"/>
          </w:tcPr>
          <w:p w:rsidR="004F189F" w:rsidRDefault="004F189F" w:rsidP="004F189F">
            <w:pPr>
              <w:pStyle w:val="ToolTableText"/>
              <w:rPr>
                <w:b/>
              </w:rPr>
            </w:pPr>
            <w:r>
              <w:rPr>
                <w:b/>
              </w:rPr>
              <w:t>Supporting Claim:</w:t>
            </w:r>
          </w:p>
        </w:tc>
      </w:tr>
      <w:tr w:rsidR="004F189F">
        <w:tc>
          <w:tcPr>
            <w:tcW w:w="9468" w:type="dxa"/>
            <w:gridSpan w:val="3"/>
          </w:tcPr>
          <w:p w:rsidR="004F189F" w:rsidRDefault="004F189F" w:rsidP="004F189F">
            <w:pPr>
              <w:pStyle w:val="ToolTableText"/>
            </w:pPr>
            <w:r>
              <w:t>“We must come to see with the distinguished jurist of yesterday that ‘justice too</w:t>
            </w:r>
            <w:r w:rsidR="00CD41BF">
              <w:t xml:space="preserve"> long delayed is justice denied.</w:t>
            </w:r>
            <w:r w:rsidR="001414A1">
              <w:t>’</w:t>
            </w:r>
            <w:r w:rsidR="00CD41BF">
              <w:t>”(par. 11)</w:t>
            </w:r>
          </w:p>
        </w:tc>
      </w:tr>
      <w:tr w:rsidR="00734C31" w:rsidRPr="005E5940">
        <w:trPr>
          <w:trHeight w:val="656"/>
        </w:trPr>
        <w:tc>
          <w:tcPr>
            <w:tcW w:w="4158" w:type="dxa"/>
            <w:shd w:val="clear" w:color="auto" w:fill="D9D9D9" w:themeFill="background1" w:themeFillShade="D9"/>
          </w:tcPr>
          <w:p w:rsidR="00734C31" w:rsidRPr="005E5940" w:rsidRDefault="00734C31" w:rsidP="004F189F">
            <w:pPr>
              <w:pStyle w:val="ToolTableText"/>
              <w:rPr>
                <w:b/>
              </w:rPr>
            </w:pPr>
            <w:r w:rsidRPr="005E5940">
              <w:rPr>
                <w:b/>
              </w:rPr>
              <w:t>Evidence:</w:t>
            </w:r>
          </w:p>
        </w:tc>
        <w:tc>
          <w:tcPr>
            <w:tcW w:w="2340" w:type="dxa"/>
            <w:shd w:val="clear" w:color="auto" w:fill="D9D9D9" w:themeFill="background1" w:themeFillShade="D9"/>
          </w:tcPr>
          <w:p w:rsidR="00734C31" w:rsidRPr="005E5940" w:rsidRDefault="00734C31" w:rsidP="004F189F">
            <w:pPr>
              <w:pStyle w:val="ToolTableText"/>
              <w:rPr>
                <w:b/>
              </w:rPr>
            </w:pPr>
            <w:r w:rsidRPr="005E5940">
              <w:rPr>
                <w:b/>
              </w:rPr>
              <w:t>Explain how the evidence is relevant:</w:t>
            </w:r>
          </w:p>
        </w:tc>
        <w:tc>
          <w:tcPr>
            <w:tcW w:w="2970" w:type="dxa"/>
            <w:shd w:val="clear" w:color="auto" w:fill="D9D9D9" w:themeFill="background1" w:themeFillShade="D9"/>
          </w:tcPr>
          <w:p w:rsidR="00734C31" w:rsidRPr="005E5940" w:rsidRDefault="00734C31" w:rsidP="004F189F">
            <w:pPr>
              <w:spacing w:line="240" w:lineRule="auto"/>
              <w:rPr>
                <w:b/>
              </w:rPr>
            </w:pPr>
            <w:r w:rsidRPr="005E5940">
              <w:rPr>
                <w:b/>
              </w:rPr>
              <w:t>Explain whether the evidence is sufficient:</w:t>
            </w:r>
          </w:p>
        </w:tc>
      </w:tr>
      <w:tr w:rsidR="00734C31">
        <w:tc>
          <w:tcPr>
            <w:tcW w:w="4158" w:type="dxa"/>
          </w:tcPr>
          <w:p w:rsidR="00734C31" w:rsidRDefault="00734C31" w:rsidP="00E003CD">
            <w:pPr>
              <w:pStyle w:val="ToolTableText"/>
            </w:pPr>
            <w:r>
              <w:t>“We have waited more than three hundred and forty years for our God-given and constitutional rights.” (par. 11)</w:t>
            </w:r>
          </w:p>
          <w:p w:rsidR="00734C31" w:rsidRPr="003C1B2E" w:rsidRDefault="00734C31" w:rsidP="00E003CD">
            <w:pPr>
              <w:pStyle w:val="ToolTableText"/>
              <w:rPr>
                <w:spacing w:val="-2"/>
              </w:rPr>
            </w:pPr>
            <w:r w:rsidRPr="003C1B2E">
              <w:rPr>
                <w:spacing w:val="-2"/>
              </w:rPr>
              <w:t>“The nations of Asia and Africa are moving with jet-like speed toward the goal of political independence, and we still creep at horse-and-buggy pace toward the gaining of a cup of coffee at a lunch counter.” (par. 11)</w:t>
            </w:r>
          </w:p>
        </w:tc>
        <w:tc>
          <w:tcPr>
            <w:tcW w:w="2340" w:type="dxa"/>
          </w:tcPr>
          <w:p w:rsidR="00734C31" w:rsidRDefault="00734C31" w:rsidP="00E003CD">
            <w:pPr>
              <w:pStyle w:val="ToolTableText"/>
            </w:pPr>
            <w:r>
              <w:t>The evidence demonstrates how long African Americans have been waiting for their freedom and how little progress America is making compared to the rest of the world.</w:t>
            </w:r>
          </w:p>
        </w:tc>
        <w:tc>
          <w:tcPr>
            <w:tcW w:w="2970" w:type="dxa"/>
          </w:tcPr>
          <w:p w:rsidR="00734C31" w:rsidRDefault="00734C31" w:rsidP="001414A1">
            <w:pPr>
              <w:pStyle w:val="ToolTableText"/>
            </w:pPr>
            <w:r>
              <w:t>The evidence is sufficient because it adequately shows how long African Americans have been waiting and how little progress America has made in terms of “political independence” (par. 11).</w:t>
            </w:r>
          </w:p>
        </w:tc>
      </w:tr>
      <w:tr w:rsidR="00734C31" w:rsidRPr="005E5940">
        <w:tc>
          <w:tcPr>
            <w:tcW w:w="6498" w:type="dxa"/>
            <w:gridSpan w:val="2"/>
            <w:shd w:val="clear" w:color="auto" w:fill="D9D9D9" w:themeFill="background1" w:themeFillShade="D9"/>
          </w:tcPr>
          <w:p w:rsidR="00734C31" w:rsidRPr="005E5940" w:rsidRDefault="00734C31" w:rsidP="004F189F">
            <w:pPr>
              <w:pStyle w:val="ToolTableText"/>
              <w:rPr>
                <w:b/>
              </w:rPr>
            </w:pPr>
            <w:r w:rsidRPr="005E5940">
              <w:rPr>
                <w:b/>
              </w:rPr>
              <w:t>Reasoning:</w:t>
            </w:r>
          </w:p>
        </w:tc>
        <w:tc>
          <w:tcPr>
            <w:tcW w:w="2970" w:type="dxa"/>
            <w:shd w:val="clear" w:color="auto" w:fill="D9D9D9" w:themeFill="background1" w:themeFillShade="D9"/>
          </w:tcPr>
          <w:p w:rsidR="00734C31" w:rsidRPr="005E5940" w:rsidRDefault="00734C31" w:rsidP="004F189F">
            <w:pPr>
              <w:pStyle w:val="ToolTableText"/>
              <w:rPr>
                <w:b/>
              </w:rPr>
            </w:pPr>
            <w:r w:rsidRPr="005E5940">
              <w:rPr>
                <w:b/>
              </w:rPr>
              <w:t>Explain whether the reasoning is valid:</w:t>
            </w:r>
          </w:p>
        </w:tc>
      </w:tr>
      <w:tr w:rsidR="00734C31">
        <w:tc>
          <w:tcPr>
            <w:tcW w:w="6498" w:type="dxa"/>
            <w:gridSpan w:val="2"/>
            <w:shd w:val="clear" w:color="auto" w:fill="FFFFFF" w:themeFill="background1"/>
          </w:tcPr>
          <w:p w:rsidR="00734C31" w:rsidRPr="003C1B2E" w:rsidRDefault="00734C31" w:rsidP="004F189F">
            <w:pPr>
              <w:pStyle w:val="ToolTableText"/>
              <w:rPr>
                <w:spacing w:val="-4"/>
              </w:rPr>
            </w:pPr>
            <w:r w:rsidRPr="003C1B2E">
              <w:rPr>
                <w:spacing w:val="-4"/>
              </w:rPr>
              <w:t>African Americans have been waiting so long for their freedom that justice is being denied. Other continents are making progress, while there has been little progress for African Americans, further demonstrating how “’justice too long delayed is justice denied’” (par. 11).</w:t>
            </w:r>
          </w:p>
        </w:tc>
        <w:tc>
          <w:tcPr>
            <w:tcW w:w="2970" w:type="dxa"/>
            <w:shd w:val="clear" w:color="auto" w:fill="FFFFFF" w:themeFill="background1"/>
          </w:tcPr>
          <w:p w:rsidR="00734C31" w:rsidRDefault="00734C31" w:rsidP="004F189F">
            <w:pPr>
              <w:pStyle w:val="ToolTableText"/>
            </w:pPr>
            <w:r>
              <w:t>The reasoning is valid because it draws on and connects both the supporting claim and the evidence.</w:t>
            </w:r>
          </w:p>
        </w:tc>
      </w:tr>
      <w:tr w:rsidR="00734C31">
        <w:tc>
          <w:tcPr>
            <w:tcW w:w="9468" w:type="dxa"/>
            <w:gridSpan w:val="3"/>
            <w:shd w:val="clear" w:color="auto" w:fill="D9D9D9" w:themeFill="background1" w:themeFillShade="D9"/>
          </w:tcPr>
          <w:p w:rsidR="00734C31" w:rsidRDefault="00734C31" w:rsidP="004F189F">
            <w:pPr>
              <w:pStyle w:val="ToolTableText"/>
              <w:rPr>
                <w:b/>
              </w:rPr>
            </w:pPr>
            <w:r>
              <w:rPr>
                <w:b/>
              </w:rPr>
              <w:t>Supporting Claim:</w:t>
            </w:r>
          </w:p>
        </w:tc>
      </w:tr>
      <w:tr w:rsidR="00734C31">
        <w:tc>
          <w:tcPr>
            <w:tcW w:w="9468" w:type="dxa"/>
            <w:gridSpan w:val="3"/>
          </w:tcPr>
          <w:p w:rsidR="00734C31" w:rsidRDefault="00734C31" w:rsidP="004F189F">
            <w:pPr>
              <w:pStyle w:val="ToolTableText"/>
            </w:pPr>
            <w:r>
              <w:t>“I guess it is easy for those who have never felt the stinging darts of segregation to say ‘wait.’”(par. 11)</w:t>
            </w:r>
          </w:p>
        </w:tc>
      </w:tr>
      <w:tr w:rsidR="00734C31" w:rsidRPr="005E5940">
        <w:trPr>
          <w:trHeight w:val="656"/>
        </w:trPr>
        <w:tc>
          <w:tcPr>
            <w:tcW w:w="4158" w:type="dxa"/>
            <w:shd w:val="clear" w:color="auto" w:fill="D9D9D9" w:themeFill="background1" w:themeFillShade="D9"/>
          </w:tcPr>
          <w:p w:rsidR="00734C31" w:rsidRPr="005E5940" w:rsidRDefault="00734C31" w:rsidP="004F189F">
            <w:pPr>
              <w:pStyle w:val="ToolTableText"/>
              <w:rPr>
                <w:b/>
              </w:rPr>
            </w:pPr>
            <w:r w:rsidRPr="005E5940">
              <w:rPr>
                <w:b/>
              </w:rPr>
              <w:t>Evidence:</w:t>
            </w:r>
          </w:p>
        </w:tc>
        <w:tc>
          <w:tcPr>
            <w:tcW w:w="2340" w:type="dxa"/>
            <w:shd w:val="clear" w:color="auto" w:fill="D9D9D9" w:themeFill="background1" w:themeFillShade="D9"/>
          </w:tcPr>
          <w:p w:rsidR="00734C31" w:rsidRPr="005E5940" w:rsidRDefault="00734C31" w:rsidP="004F189F">
            <w:pPr>
              <w:pStyle w:val="ToolTableText"/>
              <w:rPr>
                <w:b/>
              </w:rPr>
            </w:pPr>
            <w:r w:rsidRPr="005E5940">
              <w:rPr>
                <w:b/>
              </w:rPr>
              <w:t>Explain how the evidence is relevant:</w:t>
            </w:r>
          </w:p>
        </w:tc>
        <w:tc>
          <w:tcPr>
            <w:tcW w:w="2970" w:type="dxa"/>
            <w:shd w:val="clear" w:color="auto" w:fill="D9D9D9" w:themeFill="background1" w:themeFillShade="D9"/>
          </w:tcPr>
          <w:p w:rsidR="00734C31" w:rsidRPr="005E5940" w:rsidRDefault="00734C31" w:rsidP="004F189F">
            <w:pPr>
              <w:spacing w:line="240" w:lineRule="auto"/>
              <w:rPr>
                <w:b/>
              </w:rPr>
            </w:pPr>
            <w:r w:rsidRPr="005E5940">
              <w:rPr>
                <w:b/>
              </w:rPr>
              <w:t>Explain whether the evidence is sufficient:</w:t>
            </w:r>
          </w:p>
        </w:tc>
      </w:tr>
      <w:tr w:rsidR="00734C31">
        <w:tc>
          <w:tcPr>
            <w:tcW w:w="4158" w:type="dxa"/>
          </w:tcPr>
          <w:p w:rsidR="00734C31" w:rsidRDefault="00734C31" w:rsidP="00E003CD">
            <w:pPr>
              <w:pStyle w:val="ToolTableText"/>
            </w:pPr>
            <w:r>
              <w:t>From “But when you have seen vicious mobs lynch” to “—then you will understand why we find it difficult to wait.” (par. 11)</w:t>
            </w:r>
          </w:p>
        </w:tc>
        <w:tc>
          <w:tcPr>
            <w:tcW w:w="2340" w:type="dxa"/>
          </w:tcPr>
          <w:p w:rsidR="00734C31" w:rsidRDefault="00734C31" w:rsidP="00E003CD">
            <w:pPr>
              <w:pStyle w:val="ToolTableText"/>
            </w:pPr>
            <w:r>
              <w:t>The evidence shows what King means by “stinging darts of segregation” and why it is easy for whites to ask African American to wait, but why African American cannot wait for their freedom any longer (par. 11).</w:t>
            </w:r>
          </w:p>
        </w:tc>
        <w:tc>
          <w:tcPr>
            <w:tcW w:w="2970" w:type="dxa"/>
          </w:tcPr>
          <w:p w:rsidR="00734C31" w:rsidRDefault="00734C31" w:rsidP="00E003CD">
            <w:pPr>
              <w:pStyle w:val="ToolTableText"/>
            </w:pPr>
            <w:r>
              <w:t>The evidence is sufficient because it provides multiple, specific examples to support King’s claim.</w:t>
            </w:r>
          </w:p>
        </w:tc>
      </w:tr>
      <w:tr w:rsidR="00734C31" w:rsidRPr="005E5940">
        <w:tc>
          <w:tcPr>
            <w:tcW w:w="6498" w:type="dxa"/>
            <w:gridSpan w:val="2"/>
            <w:shd w:val="clear" w:color="auto" w:fill="D9D9D9" w:themeFill="background1" w:themeFillShade="D9"/>
          </w:tcPr>
          <w:p w:rsidR="00734C31" w:rsidRPr="005E5940" w:rsidRDefault="00734C31" w:rsidP="004F189F">
            <w:pPr>
              <w:pStyle w:val="ToolTableText"/>
              <w:rPr>
                <w:b/>
              </w:rPr>
            </w:pPr>
            <w:r w:rsidRPr="005E5940">
              <w:rPr>
                <w:b/>
              </w:rPr>
              <w:t>Reasoning:</w:t>
            </w:r>
          </w:p>
        </w:tc>
        <w:tc>
          <w:tcPr>
            <w:tcW w:w="2970" w:type="dxa"/>
            <w:shd w:val="clear" w:color="auto" w:fill="D9D9D9" w:themeFill="background1" w:themeFillShade="D9"/>
          </w:tcPr>
          <w:p w:rsidR="00734C31" w:rsidRPr="005E5940" w:rsidRDefault="00734C31" w:rsidP="004F189F">
            <w:pPr>
              <w:pStyle w:val="ToolTableText"/>
              <w:rPr>
                <w:b/>
              </w:rPr>
            </w:pPr>
            <w:r w:rsidRPr="005E5940">
              <w:rPr>
                <w:b/>
              </w:rPr>
              <w:t>Explain whether the reasoning is valid:</w:t>
            </w:r>
          </w:p>
        </w:tc>
      </w:tr>
      <w:tr w:rsidR="00734C31">
        <w:tc>
          <w:tcPr>
            <w:tcW w:w="6498" w:type="dxa"/>
            <w:gridSpan w:val="2"/>
            <w:shd w:val="clear" w:color="auto" w:fill="FFFFFF" w:themeFill="background1"/>
          </w:tcPr>
          <w:p w:rsidR="00734C31" w:rsidRDefault="00734C31" w:rsidP="004F189F">
            <w:pPr>
              <w:pStyle w:val="ToolTableText"/>
            </w:pPr>
            <w:r>
              <w:t>Because the conditions under segregation are so painful, oppressive, and horrible, African Americans cannot wait any longer for their civil rights. Whites have not experienced this, and so they cannot fully understand African American’s “legitimate and unavoidable impatience” (par. 11).</w:t>
            </w:r>
          </w:p>
        </w:tc>
        <w:tc>
          <w:tcPr>
            <w:tcW w:w="2970" w:type="dxa"/>
            <w:shd w:val="clear" w:color="auto" w:fill="FFFFFF" w:themeFill="background1"/>
          </w:tcPr>
          <w:p w:rsidR="00734C31" w:rsidRDefault="00734C31" w:rsidP="004F189F">
            <w:pPr>
              <w:pStyle w:val="ToolTableText"/>
            </w:pPr>
            <w:r>
              <w:t>The reasoning is valid because it draws on and connects both the supporting claim and the evidence.</w:t>
            </w:r>
          </w:p>
        </w:tc>
      </w:tr>
    </w:tbl>
    <w:p w:rsidR="00F0328E" w:rsidRPr="00734C31" w:rsidRDefault="00734C31" w:rsidP="00734C31">
      <w:pPr>
        <w:pStyle w:val="ToolHeader"/>
      </w:pPr>
      <w:r>
        <w:br w:type="page"/>
      </w:r>
      <w:r w:rsidR="00F0328E">
        <w:t>Central Ideas Tracking Tool</w:t>
      </w:r>
    </w:p>
    <w:tbl>
      <w:tblPr>
        <w:tblStyle w:val="TableGrid"/>
        <w:tblW w:w="0" w:type="auto"/>
        <w:tblLook w:val="04A0"/>
      </w:tblPr>
      <w:tblGrid>
        <w:gridCol w:w="828"/>
        <w:gridCol w:w="2816"/>
        <w:gridCol w:w="739"/>
        <w:gridCol w:w="3078"/>
        <w:gridCol w:w="727"/>
        <w:gridCol w:w="1387"/>
      </w:tblGrid>
      <w:tr w:rsidR="00F0328E" w:rsidRPr="00707670">
        <w:trPr>
          <w:trHeight w:val="562"/>
        </w:trPr>
        <w:tc>
          <w:tcPr>
            <w:tcW w:w="828" w:type="dxa"/>
            <w:shd w:val="clear" w:color="auto" w:fill="D9D9D9" w:themeFill="background1" w:themeFillShade="D9"/>
            <w:vAlign w:val="center"/>
          </w:tcPr>
          <w:p w:rsidR="00F0328E" w:rsidRPr="00707670" w:rsidRDefault="00F0328E" w:rsidP="008E21B9">
            <w:pPr>
              <w:pStyle w:val="TableText"/>
              <w:rPr>
                <w:b/>
              </w:rPr>
            </w:pPr>
            <w:r w:rsidRPr="00707670">
              <w:rPr>
                <w:b/>
              </w:rPr>
              <w:t>Name:</w:t>
            </w:r>
          </w:p>
        </w:tc>
        <w:tc>
          <w:tcPr>
            <w:tcW w:w="2816" w:type="dxa"/>
            <w:vAlign w:val="center"/>
          </w:tcPr>
          <w:p w:rsidR="00F0328E" w:rsidRPr="00707670" w:rsidRDefault="00F0328E" w:rsidP="008E21B9">
            <w:pPr>
              <w:pStyle w:val="TableText"/>
              <w:rPr>
                <w:b/>
              </w:rPr>
            </w:pPr>
          </w:p>
        </w:tc>
        <w:tc>
          <w:tcPr>
            <w:tcW w:w="739" w:type="dxa"/>
            <w:shd w:val="clear" w:color="auto" w:fill="D9D9D9" w:themeFill="background1" w:themeFillShade="D9"/>
            <w:vAlign w:val="center"/>
          </w:tcPr>
          <w:p w:rsidR="00F0328E" w:rsidRPr="00707670" w:rsidRDefault="00F0328E" w:rsidP="008E21B9">
            <w:pPr>
              <w:pStyle w:val="TableText"/>
              <w:rPr>
                <w:b/>
              </w:rPr>
            </w:pPr>
            <w:r w:rsidRPr="00707670">
              <w:rPr>
                <w:b/>
              </w:rPr>
              <w:t>Class:</w:t>
            </w:r>
          </w:p>
        </w:tc>
        <w:tc>
          <w:tcPr>
            <w:tcW w:w="3078" w:type="dxa"/>
            <w:vAlign w:val="center"/>
          </w:tcPr>
          <w:p w:rsidR="00F0328E" w:rsidRPr="00707670" w:rsidRDefault="00F0328E" w:rsidP="008E21B9">
            <w:pPr>
              <w:pStyle w:val="TableText"/>
              <w:rPr>
                <w:b/>
              </w:rPr>
            </w:pPr>
          </w:p>
        </w:tc>
        <w:tc>
          <w:tcPr>
            <w:tcW w:w="727" w:type="dxa"/>
            <w:shd w:val="clear" w:color="auto" w:fill="D9D9D9" w:themeFill="background1" w:themeFillShade="D9"/>
            <w:vAlign w:val="center"/>
          </w:tcPr>
          <w:p w:rsidR="00F0328E" w:rsidRPr="00707670" w:rsidRDefault="00F0328E" w:rsidP="008E21B9">
            <w:pPr>
              <w:pStyle w:val="TableText"/>
              <w:rPr>
                <w:b/>
              </w:rPr>
            </w:pPr>
            <w:r w:rsidRPr="00707670">
              <w:rPr>
                <w:b/>
              </w:rPr>
              <w:t>Date:</w:t>
            </w:r>
          </w:p>
        </w:tc>
        <w:tc>
          <w:tcPr>
            <w:tcW w:w="1387" w:type="dxa"/>
            <w:vAlign w:val="center"/>
          </w:tcPr>
          <w:p w:rsidR="00F0328E" w:rsidRPr="00707670" w:rsidRDefault="00F0328E" w:rsidP="008E21B9">
            <w:pPr>
              <w:pStyle w:val="TableText"/>
              <w:rPr>
                <w:b/>
              </w:rPr>
            </w:pPr>
          </w:p>
        </w:tc>
      </w:tr>
    </w:tbl>
    <w:p w:rsidR="009E54F9" w:rsidRDefault="009E54F9" w:rsidP="007D59D9">
      <w:pPr>
        <w:spacing w:after="0"/>
        <w:rPr>
          <w:sz w:val="10"/>
        </w:rPr>
      </w:pPr>
    </w:p>
    <w:tbl>
      <w:tblPr>
        <w:tblStyle w:val="TableGrid"/>
        <w:tblW w:w="0" w:type="auto"/>
        <w:tblLook w:val="04A0"/>
      </w:tblPr>
      <w:tblGrid>
        <w:gridCol w:w="9576"/>
      </w:tblGrid>
      <w:tr w:rsidR="00C33257" w:rsidRPr="00707670">
        <w:trPr>
          <w:trHeight w:val="562"/>
        </w:trPr>
        <w:tc>
          <w:tcPr>
            <w:tcW w:w="9576" w:type="dxa"/>
            <w:shd w:val="clear" w:color="auto" w:fill="D9D9D9" w:themeFill="background1" w:themeFillShade="D9"/>
            <w:vAlign w:val="center"/>
          </w:tcPr>
          <w:p w:rsidR="00C33257" w:rsidRPr="009E54F9" w:rsidRDefault="00C33257" w:rsidP="00036A2A">
            <w:pPr>
              <w:pStyle w:val="ToolTableText"/>
              <w:rPr>
                <w:b/>
              </w:rPr>
            </w:pPr>
            <w:r>
              <w:rPr>
                <w:b/>
              </w:rPr>
              <w:t>Directions</w:t>
            </w:r>
            <w:r w:rsidRPr="00C1224F">
              <w:rPr>
                <w:b/>
              </w:rPr>
              <w:t>:</w:t>
            </w:r>
            <w:r>
              <w:rPr>
                <w:b/>
              </w:rPr>
              <w:t xml:space="preserve"> </w:t>
            </w:r>
            <w:r w:rsidRPr="00C33257">
              <w:t>Identify the central ideas that you encounter throughout the text. Trace the development of those ideas by noting how the author introduces, develops, or refines these ideas in the texts. Cite textual evidence to support your work.</w:t>
            </w:r>
          </w:p>
        </w:tc>
      </w:tr>
    </w:tbl>
    <w:p w:rsidR="00F0328E" w:rsidRPr="007D59D9" w:rsidRDefault="00F0328E" w:rsidP="007D59D9">
      <w:pPr>
        <w:spacing w:after="0"/>
        <w:rPr>
          <w:sz w:val="10"/>
        </w:rPr>
      </w:pPr>
    </w:p>
    <w:tbl>
      <w:tblPr>
        <w:tblStyle w:val="TableGrid"/>
        <w:tblW w:w="0" w:type="auto"/>
        <w:tblLook w:val="04A0"/>
      </w:tblPr>
      <w:tblGrid>
        <w:gridCol w:w="778"/>
        <w:gridCol w:w="8798"/>
      </w:tblGrid>
      <w:tr w:rsidR="00F0328E" w:rsidRPr="00B81916">
        <w:trPr>
          <w:trHeight w:val="557"/>
        </w:trPr>
        <w:tc>
          <w:tcPr>
            <w:tcW w:w="820" w:type="dxa"/>
            <w:shd w:val="clear" w:color="auto" w:fill="D9D9D9" w:themeFill="background1" w:themeFillShade="D9"/>
            <w:vAlign w:val="center"/>
          </w:tcPr>
          <w:p w:rsidR="00F0328E" w:rsidRPr="00B81916" w:rsidRDefault="00F0328E" w:rsidP="00B81916">
            <w:pPr>
              <w:pStyle w:val="ToolTableText"/>
              <w:rPr>
                <w:b/>
              </w:rPr>
            </w:pPr>
            <w:r w:rsidRPr="00B81916">
              <w:rPr>
                <w:b/>
              </w:rPr>
              <w:t>Text:</w:t>
            </w:r>
          </w:p>
        </w:tc>
        <w:tc>
          <w:tcPr>
            <w:tcW w:w="12248" w:type="dxa"/>
            <w:vAlign w:val="center"/>
          </w:tcPr>
          <w:p w:rsidR="00F0328E" w:rsidRPr="00B81916" w:rsidRDefault="00F0328E" w:rsidP="00B81916">
            <w:pPr>
              <w:pStyle w:val="ToolTableText"/>
              <w:rPr>
                <w:b/>
              </w:rPr>
            </w:pPr>
          </w:p>
        </w:tc>
      </w:tr>
    </w:tbl>
    <w:p w:rsidR="00F0328E" w:rsidRPr="00646088" w:rsidRDefault="00F0328E" w:rsidP="00F0328E">
      <w:pPr>
        <w:spacing w:before="0" w:after="0"/>
        <w:rPr>
          <w:sz w:val="10"/>
        </w:rPr>
      </w:pPr>
    </w:p>
    <w:tbl>
      <w:tblPr>
        <w:tblStyle w:val="TableGrid"/>
        <w:tblW w:w="0" w:type="auto"/>
        <w:tblLook w:val="04A0"/>
      </w:tblPr>
      <w:tblGrid>
        <w:gridCol w:w="1351"/>
        <w:gridCol w:w="2897"/>
        <w:gridCol w:w="5328"/>
      </w:tblGrid>
      <w:tr w:rsidR="00F0328E" w:rsidRPr="007D59D9" w:rsidDel="002A5AC0" w:rsidTr="002A7D49">
        <w:trPr>
          <w:trHeight w:val="530"/>
        </w:trPr>
        <w:tc>
          <w:tcPr>
            <w:tcW w:w="1351" w:type="dxa"/>
            <w:shd w:val="clear" w:color="auto" w:fill="D9D9D9" w:themeFill="background1" w:themeFillShade="D9"/>
          </w:tcPr>
          <w:p w:rsidR="00F0328E" w:rsidRPr="007D59D9" w:rsidDel="002A5AC0" w:rsidRDefault="00F0328E" w:rsidP="002A7D49">
            <w:pPr>
              <w:pStyle w:val="ToolTableText"/>
              <w:jc w:val="center"/>
              <w:rPr>
                <w:b/>
              </w:rPr>
            </w:pPr>
            <w:r w:rsidRPr="007D59D9">
              <w:rPr>
                <w:b/>
              </w:rPr>
              <w:t>Paragraph #</w:t>
            </w:r>
          </w:p>
        </w:tc>
        <w:tc>
          <w:tcPr>
            <w:tcW w:w="2897" w:type="dxa"/>
            <w:shd w:val="clear" w:color="auto" w:fill="D9D9D9" w:themeFill="background1" w:themeFillShade="D9"/>
          </w:tcPr>
          <w:p w:rsidR="00F0328E" w:rsidRPr="007D59D9" w:rsidDel="002A5AC0" w:rsidRDefault="00F0328E" w:rsidP="002A7D49">
            <w:pPr>
              <w:pStyle w:val="ToolTableText"/>
              <w:jc w:val="center"/>
              <w:rPr>
                <w:b/>
              </w:rPr>
            </w:pPr>
            <w:r w:rsidRPr="007D59D9">
              <w:rPr>
                <w:b/>
              </w:rPr>
              <w:t>Central I</w:t>
            </w:r>
            <w:r w:rsidR="007D59D9">
              <w:rPr>
                <w:b/>
              </w:rPr>
              <w:t>deas</w:t>
            </w:r>
          </w:p>
        </w:tc>
        <w:tc>
          <w:tcPr>
            <w:tcW w:w="5328" w:type="dxa"/>
            <w:shd w:val="clear" w:color="auto" w:fill="D9D9D9" w:themeFill="background1" w:themeFillShade="D9"/>
          </w:tcPr>
          <w:p w:rsidR="00F0328E" w:rsidRPr="007D59D9" w:rsidDel="002A5AC0" w:rsidRDefault="00F0328E" w:rsidP="002A7D49">
            <w:pPr>
              <w:pStyle w:val="ToolTableText"/>
              <w:jc w:val="center"/>
              <w:rPr>
                <w:b/>
              </w:rPr>
            </w:pPr>
            <w:r w:rsidRPr="007D59D9">
              <w:rPr>
                <w:b/>
              </w:rPr>
              <w:t>Notes and Connections</w:t>
            </w:r>
          </w:p>
        </w:tc>
      </w:tr>
      <w:tr w:rsidR="00F0328E" w:rsidDel="002A5AC0">
        <w:trPr>
          <w:trHeight w:val="530"/>
        </w:trPr>
        <w:tc>
          <w:tcPr>
            <w:tcW w:w="1351" w:type="dxa"/>
          </w:tcPr>
          <w:p w:rsidR="00F0328E" w:rsidRDefault="00F0328E" w:rsidP="008E21B9"/>
          <w:p w:rsidR="003C1B2E" w:rsidRDefault="003C1B2E" w:rsidP="008E21B9"/>
          <w:p w:rsidR="00F0328E" w:rsidDel="002A5AC0" w:rsidRDefault="00F0328E" w:rsidP="008E21B9"/>
        </w:tc>
        <w:tc>
          <w:tcPr>
            <w:tcW w:w="2897" w:type="dxa"/>
          </w:tcPr>
          <w:p w:rsidR="00F0328E" w:rsidDel="002A5AC0" w:rsidRDefault="00F0328E" w:rsidP="008E21B9"/>
        </w:tc>
        <w:tc>
          <w:tcPr>
            <w:tcW w:w="5328" w:type="dxa"/>
          </w:tcPr>
          <w:p w:rsidR="00F0328E" w:rsidDel="002A5AC0" w:rsidRDefault="00F0328E" w:rsidP="008E21B9"/>
        </w:tc>
      </w:tr>
      <w:tr w:rsidR="00F0328E" w:rsidDel="002A5AC0">
        <w:trPr>
          <w:trHeight w:val="530"/>
        </w:trPr>
        <w:tc>
          <w:tcPr>
            <w:tcW w:w="1351" w:type="dxa"/>
          </w:tcPr>
          <w:p w:rsidR="00F0328E" w:rsidRDefault="00F0328E" w:rsidP="008E21B9"/>
          <w:p w:rsidR="003C1B2E" w:rsidRDefault="003C1B2E" w:rsidP="008E21B9"/>
          <w:p w:rsidR="00F0328E" w:rsidDel="002A5AC0" w:rsidRDefault="00F0328E" w:rsidP="008E21B9"/>
        </w:tc>
        <w:tc>
          <w:tcPr>
            <w:tcW w:w="2897" w:type="dxa"/>
          </w:tcPr>
          <w:p w:rsidR="00F0328E" w:rsidDel="002A5AC0" w:rsidRDefault="00F0328E" w:rsidP="008E21B9"/>
        </w:tc>
        <w:tc>
          <w:tcPr>
            <w:tcW w:w="5328" w:type="dxa"/>
          </w:tcPr>
          <w:p w:rsidR="00F0328E" w:rsidDel="002A5AC0" w:rsidRDefault="00F0328E" w:rsidP="008E21B9"/>
        </w:tc>
      </w:tr>
      <w:tr w:rsidR="00F0328E" w:rsidDel="002A5AC0">
        <w:trPr>
          <w:trHeight w:val="530"/>
        </w:trPr>
        <w:tc>
          <w:tcPr>
            <w:tcW w:w="1351" w:type="dxa"/>
          </w:tcPr>
          <w:p w:rsidR="00F0328E" w:rsidRDefault="00F0328E" w:rsidP="008E21B9"/>
          <w:p w:rsidR="003C1B2E" w:rsidRDefault="003C1B2E" w:rsidP="008E21B9"/>
          <w:p w:rsidR="00F0328E" w:rsidDel="002A5AC0" w:rsidRDefault="00F0328E" w:rsidP="008E21B9"/>
        </w:tc>
        <w:tc>
          <w:tcPr>
            <w:tcW w:w="2897" w:type="dxa"/>
          </w:tcPr>
          <w:p w:rsidR="00F0328E" w:rsidDel="002A5AC0" w:rsidRDefault="00F0328E" w:rsidP="008E21B9"/>
        </w:tc>
        <w:tc>
          <w:tcPr>
            <w:tcW w:w="5328" w:type="dxa"/>
          </w:tcPr>
          <w:p w:rsidR="00F0328E" w:rsidDel="002A5AC0" w:rsidRDefault="00F0328E" w:rsidP="008E21B9"/>
        </w:tc>
      </w:tr>
      <w:tr w:rsidR="00F0328E" w:rsidDel="002A5AC0">
        <w:trPr>
          <w:trHeight w:val="530"/>
        </w:trPr>
        <w:tc>
          <w:tcPr>
            <w:tcW w:w="1351" w:type="dxa"/>
          </w:tcPr>
          <w:p w:rsidR="00F0328E" w:rsidRDefault="00F0328E" w:rsidP="008E21B9"/>
          <w:p w:rsidR="003C1B2E" w:rsidRDefault="003C1B2E" w:rsidP="008E21B9"/>
          <w:p w:rsidR="00F0328E" w:rsidDel="002A5AC0" w:rsidRDefault="00F0328E" w:rsidP="008E21B9"/>
        </w:tc>
        <w:tc>
          <w:tcPr>
            <w:tcW w:w="2897" w:type="dxa"/>
          </w:tcPr>
          <w:p w:rsidR="00F0328E" w:rsidDel="002A5AC0" w:rsidRDefault="00F0328E" w:rsidP="008E21B9"/>
        </w:tc>
        <w:tc>
          <w:tcPr>
            <w:tcW w:w="5328" w:type="dxa"/>
          </w:tcPr>
          <w:p w:rsidR="00F0328E" w:rsidDel="002A5AC0" w:rsidRDefault="00F0328E" w:rsidP="008E21B9"/>
        </w:tc>
      </w:tr>
      <w:tr w:rsidR="00F0328E" w:rsidDel="002A5AC0">
        <w:trPr>
          <w:trHeight w:val="63"/>
        </w:trPr>
        <w:tc>
          <w:tcPr>
            <w:tcW w:w="1351" w:type="dxa"/>
          </w:tcPr>
          <w:p w:rsidR="00F0328E" w:rsidRDefault="00F0328E" w:rsidP="008E21B9"/>
          <w:p w:rsidR="003C1B2E" w:rsidRDefault="003C1B2E" w:rsidP="008E21B9"/>
          <w:p w:rsidR="00F0328E" w:rsidDel="002A5AC0" w:rsidRDefault="00F0328E" w:rsidP="008E21B9"/>
        </w:tc>
        <w:tc>
          <w:tcPr>
            <w:tcW w:w="2897" w:type="dxa"/>
          </w:tcPr>
          <w:p w:rsidR="00F0328E" w:rsidDel="002A5AC0" w:rsidRDefault="00F0328E" w:rsidP="008E21B9"/>
        </w:tc>
        <w:tc>
          <w:tcPr>
            <w:tcW w:w="5328" w:type="dxa"/>
          </w:tcPr>
          <w:p w:rsidR="00F0328E" w:rsidDel="002A5AC0" w:rsidRDefault="00F0328E" w:rsidP="008E21B9"/>
        </w:tc>
      </w:tr>
    </w:tbl>
    <w:p w:rsidR="00A12F05" w:rsidRPr="005837C5" w:rsidRDefault="00A12F05" w:rsidP="00F0328E">
      <w:pPr>
        <w:pStyle w:val="ToolHeader"/>
      </w:pPr>
    </w:p>
    <w:sectPr w:rsidR="00A12F05" w:rsidRPr="005837C5" w:rsidSect="004713C2">
      <w:headerReference w:type="default" r:id="rId9"/>
      <w:footerReference w:type="even" r:id="rId10"/>
      <w:footerReference w:type="default" r:id="rId11"/>
      <w:pgSz w:w="12240" w:h="15840"/>
      <w:pgMar w:top="1440" w:right="1440" w:bottom="1440" w:left="1440" w:header="432" w:footer="64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55F" w:rsidRDefault="0019755F" w:rsidP="00E946A0">
      <w:r>
        <w:separator/>
      </w:r>
    </w:p>
    <w:p w:rsidR="0019755F" w:rsidRDefault="0019755F" w:rsidP="00E946A0"/>
  </w:endnote>
  <w:endnote w:type="continuationSeparator" w:id="0">
    <w:p w:rsidR="0019755F" w:rsidRDefault="0019755F" w:rsidP="00E946A0">
      <w:r>
        <w:continuationSeparator/>
      </w:r>
    </w:p>
    <w:p w:rsidR="0019755F" w:rsidRDefault="0019755F" w:rsidP="00E946A0"/>
  </w:endnote>
  <w:endnote w:type="continuationNotice" w:id="1">
    <w:p w:rsidR="0019755F" w:rsidRDefault="0019755F">
      <w:pPr>
        <w:spacing w:before="0" w:after="0" w:line="240" w:lineRule="auto"/>
      </w:pPr>
    </w:p>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embedRegular r:id="rId1" w:subsetted="1" w:fontKey="{1C9684DA-56A6-4A1A-9282-9FDEADD6C0E8}"/>
  </w:font>
  <w:font w:name="Times New Roman">
    <w:panose1 w:val="02020603050405020304"/>
    <w:charset w:val="00"/>
    <w:family w:val="roman"/>
    <w:pitch w:val="variable"/>
    <w:sig w:usb0="E0002AFF" w:usb1="C0007841" w:usb2="00000009" w:usb3="00000000" w:csb0="000001FF" w:csb1="00000000"/>
    <w:embedRegular r:id="rId2" w:subsetted="1" w:fontKey="{D7AEE259-A7AF-4A2A-B50B-6E60CF1E789C}"/>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378" w:rsidRDefault="005130C3" w:rsidP="00E946A0">
    <w:pPr>
      <w:pStyle w:val="Footer"/>
      <w:rPr>
        <w:rStyle w:val="PageNumber"/>
        <w:rFonts w:ascii="Calibri" w:hAnsi="Calibri"/>
        <w:sz w:val="22"/>
      </w:rPr>
    </w:pPr>
    <w:r>
      <w:rPr>
        <w:rStyle w:val="PageNumber"/>
      </w:rPr>
      <w:fldChar w:fldCharType="begin"/>
    </w:r>
    <w:r w:rsidR="00100378">
      <w:rPr>
        <w:rStyle w:val="PageNumber"/>
      </w:rPr>
      <w:instrText xml:space="preserve">PAGE  </w:instrText>
    </w:r>
    <w:r>
      <w:rPr>
        <w:rStyle w:val="PageNumber"/>
      </w:rPr>
      <w:fldChar w:fldCharType="end"/>
    </w:r>
  </w:p>
  <w:p w:rsidR="00100378" w:rsidRDefault="00100378" w:rsidP="00E946A0">
    <w:pPr>
      <w:pStyle w:val="Footer"/>
    </w:pPr>
  </w:p>
  <w:p w:rsidR="00100378" w:rsidRDefault="00100378" w:rsidP="00E946A0"/>
  <w:p w:rsidR="00100378" w:rsidRDefault="00100378" w:rsidP="00E946A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378" w:rsidRPr="00563CB8" w:rsidRDefault="00100378" w:rsidP="004F2969">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100378">
      <w:trPr>
        <w:trHeight w:val="705"/>
      </w:trPr>
      <w:tc>
        <w:tcPr>
          <w:tcW w:w="4609" w:type="dxa"/>
          <w:shd w:val="clear" w:color="auto" w:fill="auto"/>
          <w:vAlign w:val="center"/>
        </w:tcPr>
        <w:p w:rsidR="00100378" w:rsidRPr="00984584" w:rsidRDefault="00100378" w:rsidP="004F2969">
          <w:pPr>
            <w:pStyle w:val="FooterText"/>
            <w:rPr>
              <w:rFonts w:asciiTheme="minorHAnsi" w:hAnsiTheme="minorHAnsi"/>
            </w:rPr>
          </w:pPr>
          <w:r w:rsidRPr="00984584">
            <w:rPr>
              <w:rFonts w:asciiTheme="minorHAnsi" w:hAnsiTheme="minorHAnsi"/>
            </w:rPr>
            <w:t>File:</w:t>
          </w:r>
          <w:r w:rsidRPr="00984584">
            <w:rPr>
              <w:rFonts w:asciiTheme="minorHAnsi" w:hAnsiTheme="minorHAnsi"/>
              <w:b w:val="0"/>
            </w:rPr>
            <w:t xml:space="preserve"> 10.2.1 Lesson 5</w:t>
          </w:r>
          <w:r w:rsidRPr="00984584">
            <w:rPr>
              <w:rFonts w:asciiTheme="minorHAnsi" w:hAnsiTheme="minorHAnsi"/>
            </w:rPr>
            <w:t xml:space="preserve"> Date:</w:t>
          </w:r>
          <w:r w:rsidRPr="00984584">
            <w:rPr>
              <w:rFonts w:asciiTheme="minorHAnsi" w:hAnsiTheme="minorHAnsi"/>
              <w:b w:val="0"/>
            </w:rPr>
            <w:t xml:space="preserve"> </w:t>
          </w:r>
          <w:r>
            <w:rPr>
              <w:rFonts w:asciiTheme="minorHAnsi" w:hAnsiTheme="minorHAnsi"/>
              <w:b w:val="0"/>
            </w:rPr>
            <w:t>4</w:t>
          </w:r>
          <w:r w:rsidRPr="00984584">
            <w:rPr>
              <w:rFonts w:asciiTheme="minorHAnsi" w:hAnsiTheme="minorHAnsi"/>
              <w:b w:val="0"/>
            </w:rPr>
            <w:t>/</w:t>
          </w:r>
          <w:r w:rsidR="003E57E9">
            <w:rPr>
              <w:rFonts w:asciiTheme="minorHAnsi" w:hAnsiTheme="minorHAnsi"/>
              <w:b w:val="0"/>
            </w:rPr>
            <w:t>18</w:t>
          </w:r>
          <w:r w:rsidRPr="00984584">
            <w:rPr>
              <w:rFonts w:asciiTheme="minorHAnsi" w:hAnsiTheme="minorHAnsi"/>
              <w:b w:val="0"/>
            </w:rPr>
            <w:t xml:space="preserve">/14 </w:t>
          </w:r>
          <w:r w:rsidRPr="00984584">
            <w:rPr>
              <w:rFonts w:asciiTheme="minorHAnsi" w:hAnsiTheme="minorHAnsi"/>
            </w:rPr>
            <w:t>Classroom Use:</w:t>
          </w:r>
          <w:r w:rsidRPr="00984584">
            <w:rPr>
              <w:rFonts w:asciiTheme="minorHAnsi" w:hAnsiTheme="minorHAnsi"/>
              <w:b w:val="0"/>
            </w:rPr>
            <w:t xml:space="preserve"> Starting 4/2014 </w:t>
          </w:r>
        </w:p>
        <w:p w:rsidR="00100378" w:rsidRPr="00984584" w:rsidRDefault="00100378" w:rsidP="004F2969">
          <w:pPr>
            <w:pStyle w:val="FooterText"/>
            <w:rPr>
              <w:rFonts w:asciiTheme="minorHAnsi" w:hAnsiTheme="minorHAnsi"/>
              <w:b w:val="0"/>
              <w:i/>
              <w:sz w:val="12"/>
            </w:rPr>
          </w:pPr>
          <w:r w:rsidRPr="00984584">
            <w:rPr>
              <w:rFonts w:asciiTheme="minorHAnsi" w:hAnsiTheme="minorHAnsi"/>
              <w:b w:val="0"/>
              <w:sz w:val="12"/>
            </w:rPr>
            <w:t>© 2014 Public Consulting Group.</w:t>
          </w:r>
          <w:r w:rsidRPr="00984584">
            <w:rPr>
              <w:rFonts w:asciiTheme="minorHAnsi" w:hAnsiTheme="minorHAnsi"/>
              <w:b w:val="0"/>
              <w:i/>
              <w:sz w:val="12"/>
            </w:rPr>
            <w:t xml:space="preserve"> This work is licensed under a </w:t>
          </w:r>
        </w:p>
        <w:p w:rsidR="00100378" w:rsidRPr="00984584" w:rsidRDefault="00100378" w:rsidP="004F2969">
          <w:pPr>
            <w:pStyle w:val="FooterText"/>
            <w:rPr>
              <w:rFonts w:asciiTheme="minorHAnsi" w:hAnsiTheme="minorHAnsi"/>
              <w:b w:val="0"/>
              <w:i/>
            </w:rPr>
          </w:pPr>
          <w:r w:rsidRPr="00984584">
            <w:rPr>
              <w:rFonts w:asciiTheme="minorHAnsi" w:hAnsiTheme="minorHAnsi"/>
              <w:b w:val="0"/>
              <w:i/>
              <w:sz w:val="12"/>
            </w:rPr>
            <w:t>Creative Commons Attribution-NonCommercial-ShareAlike 3.0 Unported License</w:t>
          </w:r>
        </w:p>
        <w:p w:rsidR="00100378" w:rsidRPr="002E4C92" w:rsidRDefault="005130C3" w:rsidP="004F2969">
          <w:pPr>
            <w:pStyle w:val="FooterText"/>
          </w:pPr>
          <w:hyperlink r:id="rId1" w:history="1">
            <w:r w:rsidR="00100378" w:rsidRPr="00984584">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100378" w:rsidRPr="002E4C92" w:rsidRDefault="005130C3"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100378"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C70376">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rsidR="00100378" w:rsidRPr="002E4C92" w:rsidRDefault="00100378"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100378" w:rsidRPr="0039525B" w:rsidRDefault="00100378" w:rsidP="0039525B">
    <w:pPr>
      <w:pStyle w:val="Footer"/>
      <w:spacing w:before="0" w:after="0" w:line="240" w:lineRule="auto"/>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55F" w:rsidRDefault="0019755F" w:rsidP="00E946A0">
      <w:r>
        <w:separator/>
      </w:r>
    </w:p>
    <w:p w:rsidR="0019755F" w:rsidRDefault="0019755F" w:rsidP="00E946A0"/>
  </w:footnote>
  <w:footnote w:type="continuationSeparator" w:id="0">
    <w:p w:rsidR="0019755F" w:rsidRDefault="0019755F" w:rsidP="00E946A0">
      <w:r>
        <w:continuationSeparator/>
      </w:r>
    </w:p>
    <w:p w:rsidR="0019755F" w:rsidRDefault="0019755F" w:rsidP="00E946A0"/>
  </w:footnote>
  <w:footnote w:type="continuationNotice" w:id="1">
    <w:p w:rsidR="0019755F" w:rsidRDefault="0019755F">
      <w:pPr>
        <w:spacing w:before="0"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708"/>
      <w:gridCol w:w="2430"/>
      <w:gridCol w:w="3438"/>
    </w:tblGrid>
    <w:tr w:rsidR="00100378" w:rsidRPr="00563CB8">
      <w:tc>
        <w:tcPr>
          <w:tcW w:w="3708" w:type="dxa"/>
          <w:shd w:val="clear" w:color="auto" w:fill="auto"/>
        </w:tcPr>
        <w:p w:rsidR="00100378" w:rsidRPr="00563CB8" w:rsidRDefault="00100378"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100378" w:rsidRPr="00563CB8" w:rsidRDefault="00100378" w:rsidP="00E946A0">
          <w:pPr>
            <w:jc w:val="center"/>
          </w:pPr>
          <w:r w:rsidRPr="00563CB8">
            <w:t>D R A F T</w:t>
          </w:r>
        </w:p>
      </w:tc>
      <w:tc>
        <w:tcPr>
          <w:tcW w:w="3438" w:type="dxa"/>
          <w:shd w:val="clear" w:color="auto" w:fill="auto"/>
        </w:tcPr>
        <w:p w:rsidR="00100378" w:rsidRPr="00E946A0" w:rsidRDefault="00100378" w:rsidP="000B316E">
          <w:pPr>
            <w:pStyle w:val="PageHeader"/>
            <w:jc w:val="right"/>
            <w:rPr>
              <w:b w:val="0"/>
            </w:rPr>
          </w:pPr>
          <w:r>
            <w:rPr>
              <w:b w:val="0"/>
            </w:rPr>
            <w:t>Grade 10 • Module 2</w:t>
          </w:r>
          <w:r w:rsidRPr="00E946A0">
            <w:rPr>
              <w:b w:val="0"/>
            </w:rPr>
            <w:t xml:space="preserve"> • Unit </w:t>
          </w:r>
          <w:r>
            <w:rPr>
              <w:b w:val="0"/>
            </w:rPr>
            <w:t>1</w:t>
          </w:r>
          <w:r w:rsidRPr="00E946A0">
            <w:rPr>
              <w:b w:val="0"/>
            </w:rPr>
            <w:t xml:space="preserve"> • Lesson </w:t>
          </w:r>
          <w:r>
            <w:rPr>
              <w:b w:val="0"/>
            </w:rPr>
            <w:t>5</w:t>
          </w:r>
        </w:p>
      </w:tc>
    </w:tr>
  </w:tbl>
  <w:p w:rsidR="00100378" w:rsidRDefault="00100378" w:rsidP="00E946A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911EE"/>
    <w:multiLevelType w:val="hybridMultilevel"/>
    <w:tmpl w:val="96722E08"/>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8466A8"/>
    <w:multiLevelType w:val="hybridMultilevel"/>
    <w:tmpl w:val="D8025B18"/>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4CF5478"/>
    <w:multiLevelType w:val="hybridMultilevel"/>
    <w:tmpl w:val="DBFA89EA"/>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AC57447"/>
    <w:multiLevelType w:val="hybridMultilevel"/>
    <w:tmpl w:val="3FD2C30E"/>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4939C6"/>
    <w:multiLevelType w:val="hybridMultilevel"/>
    <w:tmpl w:val="23AA7662"/>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171F0E"/>
    <w:multiLevelType w:val="hybridMultilevel"/>
    <w:tmpl w:val="6DA27AB4"/>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CB34FA9"/>
    <w:multiLevelType w:val="hybridMultilevel"/>
    <w:tmpl w:val="76040D0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B1732A"/>
    <w:multiLevelType w:val="hybridMultilevel"/>
    <w:tmpl w:val="061A583C"/>
    <w:lvl w:ilvl="0" w:tplc="17E40626">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lvlOverride w:ilvl="0">
      <w:startOverride w:val="1"/>
    </w:lvlOverride>
  </w:num>
  <w:num w:numId="2">
    <w:abstractNumId w:val="3"/>
  </w:num>
  <w:num w:numId="3">
    <w:abstractNumId w:val="0"/>
  </w:num>
  <w:num w:numId="4">
    <w:abstractNumId w:val="5"/>
  </w:num>
  <w:num w:numId="5">
    <w:abstractNumId w:val="2"/>
    <w:lvlOverride w:ilvl="0">
      <w:startOverride w:val="1"/>
    </w:lvlOverride>
  </w:num>
  <w:num w:numId="6">
    <w:abstractNumId w:val="6"/>
  </w:num>
  <w:num w:numId="7">
    <w:abstractNumId w:val="1"/>
  </w:num>
  <w:num w:numId="8">
    <w:abstractNumId w:val="4"/>
  </w:num>
  <w:num w:numId="9">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TrueTypeFonts/>
  <w:embedSystemFonts/>
  <w:saveSubsetFonts/>
  <w:doNotTrackMoves/>
  <w:defaultTabStop w:val="720"/>
  <w:drawingGridHorizontalSpacing w:val="110"/>
  <w:displayHorizontalDrawingGridEvery w:val="2"/>
  <w:characterSpacingControl w:val="doNotCompress"/>
  <w:hdrShapeDefaults>
    <o:shapedefaults v:ext="edit" spidmax="5122"/>
  </w:hdrShapeDefaults>
  <w:footnotePr>
    <w:footnote w:id="-1"/>
    <w:footnote w:id="0"/>
    <w:footnote w:id="1"/>
  </w:footnotePr>
  <w:endnotePr>
    <w:endnote w:id="-1"/>
    <w:endnote w:id="0"/>
    <w:endnote w:id="1"/>
  </w:endnotePr>
  <w:compat/>
  <w:rsids>
    <w:rsidRoot w:val="00A4688B"/>
    <w:rsid w:val="00007CBA"/>
    <w:rsid w:val="00007F67"/>
    <w:rsid w:val="00011C49"/>
    <w:rsid w:val="00011E99"/>
    <w:rsid w:val="0001240E"/>
    <w:rsid w:val="000134DA"/>
    <w:rsid w:val="000137C5"/>
    <w:rsid w:val="00014D5D"/>
    <w:rsid w:val="00020527"/>
    <w:rsid w:val="00021589"/>
    <w:rsid w:val="0002335F"/>
    <w:rsid w:val="00024F74"/>
    <w:rsid w:val="00025BED"/>
    <w:rsid w:val="000303EE"/>
    <w:rsid w:val="000307CC"/>
    <w:rsid w:val="00030DE9"/>
    <w:rsid w:val="00034778"/>
    <w:rsid w:val="00041A88"/>
    <w:rsid w:val="00041CFB"/>
    <w:rsid w:val="00045E2A"/>
    <w:rsid w:val="00053088"/>
    <w:rsid w:val="00062291"/>
    <w:rsid w:val="0006233C"/>
    <w:rsid w:val="00062917"/>
    <w:rsid w:val="00063B03"/>
    <w:rsid w:val="00064850"/>
    <w:rsid w:val="00064A67"/>
    <w:rsid w:val="00065459"/>
    <w:rsid w:val="00066123"/>
    <w:rsid w:val="0006776C"/>
    <w:rsid w:val="00071936"/>
    <w:rsid w:val="00071A7E"/>
    <w:rsid w:val="00072749"/>
    <w:rsid w:val="000742AA"/>
    <w:rsid w:val="000745EC"/>
    <w:rsid w:val="00075649"/>
    <w:rsid w:val="00080A8A"/>
    <w:rsid w:val="000823D0"/>
    <w:rsid w:val="000848B2"/>
    <w:rsid w:val="00086A06"/>
    <w:rsid w:val="00090200"/>
    <w:rsid w:val="00092730"/>
    <w:rsid w:val="00092C82"/>
    <w:rsid w:val="00094F7F"/>
    <w:rsid w:val="00095BBA"/>
    <w:rsid w:val="00096A06"/>
    <w:rsid w:val="000A1206"/>
    <w:rsid w:val="000A18DA"/>
    <w:rsid w:val="000A1C15"/>
    <w:rsid w:val="000A26A7"/>
    <w:rsid w:val="000A3640"/>
    <w:rsid w:val="000A6475"/>
    <w:rsid w:val="000A7D4E"/>
    <w:rsid w:val="000B1882"/>
    <w:rsid w:val="000B2D56"/>
    <w:rsid w:val="000B3015"/>
    <w:rsid w:val="000B316E"/>
    <w:rsid w:val="000B3836"/>
    <w:rsid w:val="000B59C1"/>
    <w:rsid w:val="000B6EA7"/>
    <w:rsid w:val="000C0112"/>
    <w:rsid w:val="000C169A"/>
    <w:rsid w:val="000C4439"/>
    <w:rsid w:val="000C4813"/>
    <w:rsid w:val="000C5656"/>
    <w:rsid w:val="000C5893"/>
    <w:rsid w:val="000D0F3D"/>
    <w:rsid w:val="000D0FAE"/>
    <w:rsid w:val="000D2788"/>
    <w:rsid w:val="000D2EDB"/>
    <w:rsid w:val="000D707C"/>
    <w:rsid w:val="000E0B69"/>
    <w:rsid w:val="000E4DBA"/>
    <w:rsid w:val="000E5724"/>
    <w:rsid w:val="000F192C"/>
    <w:rsid w:val="000F2414"/>
    <w:rsid w:val="000F5448"/>
    <w:rsid w:val="000F63EE"/>
    <w:rsid w:val="000F7D35"/>
    <w:rsid w:val="000F7F56"/>
    <w:rsid w:val="00100378"/>
    <w:rsid w:val="0010235F"/>
    <w:rsid w:val="001050A8"/>
    <w:rsid w:val="00110A04"/>
    <w:rsid w:val="00111A39"/>
    <w:rsid w:val="00111C1E"/>
    <w:rsid w:val="00112F20"/>
    <w:rsid w:val="00113501"/>
    <w:rsid w:val="001159C2"/>
    <w:rsid w:val="0011756A"/>
    <w:rsid w:val="001215F2"/>
    <w:rsid w:val="00121C27"/>
    <w:rsid w:val="001258FD"/>
    <w:rsid w:val="00125A4A"/>
    <w:rsid w:val="001320E9"/>
    <w:rsid w:val="00133528"/>
    <w:rsid w:val="001352AE"/>
    <w:rsid w:val="001362D4"/>
    <w:rsid w:val="00136A83"/>
    <w:rsid w:val="0014010B"/>
    <w:rsid w:val="00140413"/>
    <w:rsid w:val="001414A1"/>
    <w:rsid w:val="001442F5"/>
    <w:rsid w:val="00146AC6"/>
    <w:rsid w:val="00146C36"/>
    <w:rsid w:val="001509EC"/>
    <w:rsid w:val="0015118C"/>
    <w:rsid w:val="001525C3"/>
    <w:rsid w:val="00152E5A"/>
    <w:rsid w:val="001531EC"/>
    <w:rsid w:val="00155035"/>
    <w:rsid w:val="00156124"/>
    <w:rsid w:val="001561B9"/>
    <w:rsid w:val="00157B28"/>
    <w:rsid w:val="00162CAD"/>
    <w:rsid w:val="001657A6"/>
    <w:rsid w:val="001708C2"/>
    <w:rsid w:val="001723D5"/>
    <w:rsid w:val="00175B00"/>
    <w:rsid w:val="0017727F"/>
    <w:rsid w:val="00177CD6"/>
    <w:rsid w:val="00184E4D"/>
    <w:rsid w:val="0018630D"/>
    <w:rsid w:val="00186355"/>
    <w:rsid w:val="001864E6"/>
    <w:rsid w:val="00186FDA"/>
    <w:rsid w:val="0018762C"/>
    <w:rsid w:val="00187F56"/>
    <w:rsid w:val="001945FA"/>
    <w:rsid w:val="00194F1D"/>
    <w:rsid w:val="001970F9"/>
    <w:rsid w:val="0019755F"/>
    <w:rsid w:val="001A2ADF"/>
    <w:rsid w:val="001A3479"/>
    <w:rsid w:val="001A5133"/>
    <w:rsid w:val="001B0794"/>
    <w:rsid w:val="001B1487"/>
    <w:rsid w:val="001C0043"/>
    <w:rsid w:val="001C15D2"/>
    <w:rsid w:val="001C1C99"/>
    <w:rsid w:val="001C35E3"/>
    <w:rsid w:val="001C5188"/>
    <w:rsid w:val="001C6A69"/>
    <w:rsid w:val="001C6B70"/>
    <w:rsid w:val="001D047B"/>
    <w:rsid w:val="001D0518"/>
    <w:rsid w:val="001D2571"/>
    <w:rsid w:val="001D2621"/>
    <w:rsid w:val="001D2F2B"/>
    <w:rsid w:val="001D53A0"/>
    <w:rsid w:val="001D641A"/>
    <w:rsid w:val="001D7506"/>
    <w:rsid w:val="001D7EB6"/>
    <w:rsid w:val="001E007A"/>
    <w:rsid w:val="001E189E"/>
    <w:rsid w:val="001E41D5"/>
    <w:rsid w:val="001E5E63"/>
    <w:rsid w:val="001F0991"/>
    <w:rsid w:val="001F1ED6"/>
    <w:rsid w:val="001F6C4F"/>
    <w:rsid w:val="002009F7"/>
    <w:rsid w:val="0020138A"/>
    <w:rsid w:val="00202CF1"/>
    <w:rsid w:val="002041CD"/>
    <w:rsid w:val="00206EA1"/>
    <w:rsid w:val="00207C8B"/>
    <w:rsid w:val="00215A9C"/>
    <w:rsid w:val="00223DC1"/>
    <w:rsid w:val="00224590"/>
    <w:rsid w:val="00224F37"/>
    <w:rsid w:val="002268EF"/>
    <w:rsid w:val="002306FF"/>
    <w:rsid w:val="00231919"/>
    <w:rsid w:val="002326E5"/>
    <w:rsid w:val="002346A4"/>
    <w:rsid w:val="00240FF7"/>
    <w:rsid w:val="00241E0F"/>
    <w:rsid w:val="0024557C"/>
    <w:rsid w:val="00245B86"/>
    <w:rsid w:val="00247B56"/>
    <w:rsid w:val="002516D4"/>
    <w:rsid w:val="00251A7C"/>
    <w:rsid w:val="00251DAB"/>
    <w:rsid w:val="00252D78"/>
    <w:rsid w:val="00254EAD"/>
    <w:rsid w:val="002619B1"/>
    <w:rsid w:val="002635F4"/>
    <w:rsid w:val="00263AF5"/>
    <w:rsid w:val="002661A8"/>
    <w:rsid w:val="00272ABD"/>
    <w:rsid w:val="00273C78"/>
    <w:rsid w:val="002748D4"/>
    <w:rsid w:val="002748DB"/>
    <w:rsid w:val="00274FEB"/>
    <w:rsid w:val="00276DB9"/>
    <w:rsid w:val="0028184C"/>
    <w:rsid w:val="00282C8D"/>
    <w:rsid w:val="0028342F"/>
    <w:rsid w:val="00284B9E"/>
    <w:rsid w:val="00284FC0"/>
    <w:rsid w:val="0029026B"/>
    <w:rsid w:val="00290F88"/>
    <w:rsid w:val="00291BD2"/>
    <w:rsid w:val="0029527C"/>
    <w:rsid w:val="00297DC5"/>
    <w:rsid w:val="002A21DE"/>
    <w:rsid w:val="002A5337"/>
    <w:rsid w:val="002A563C"/>
    <w:rsid w:val="002A6C6E"/>
    <w:rsid w:val="002A7224"/>
    <w:rsid w:val="002A7D49"/>
    <w:rsid w:val="002B1EB1"/>
    <w:rsid w:val="002B3911"/>
    <w:rsid w:val="002B599A"/>
    <w:rsid w:val="002C0245"/>
    <w:rsid w:val="002C02FB"/>
    <w:rsid w:val="002C586F"/>
    <w:rsid w:val="002C5F0D"/>
    <w:rsid w:val="002C7E34"/>
    <w:rsid w:val="002D0492"/>
    <w:rsid w:val="002D4118"/>
    <w:rsid w:val="002D5EB9"/>
    <w:rsid w:val="002D632F"/>
    <w:rsid w:val="002E0A60"/>
    <w:rsid w:val="002E156B"/>
    <w:rsid w:val="002E27AE"/>
    <w:rsid w:val="002E28FE"/>
    <w:rsid w:val="002E4C92"/>
    <w:rsid w:val="002E6BC7"/>
    <w:rsid w:val="002E7338"/>
    <w:rsid w:val="002F03D2"/>
    <w:rsid w:val="002F06E1"/>
    <w:rsid w:val="002F3D65"/>
    <w:rsid w:val="003067BF"/>
    <w:rsid w:val="0031006D"/>
    <w:rsid w:val="00311B37"/>
    <w:rsid w:val="00311E81"/>
    <w:rsid w:val="00312307"/>
    <w:rsid w:val="00317306"/>
    <w:rsid w:val="003201AC"/>
    <w:rsid w:val="00320F7E"/>
    <w:rsid w:val="0032173F"/>
    <w:rsid w:val="0032239A"/>
    <w:rsid w:val="0032272C"/>
    <w:rsid w:val="003243CE"/>
    <w:rsid w:val="00326657"/>
    <w:rsid w:val="00326DF6"/>
    <w:rsid w:val="003346F1"/>
    <w:rsid w:val="003347BE"/>
    <w:rsid w:val="00335168"/>
    <w:rsid w:val="003362C0"/>
    <w:rsid w:val="003368BF"/>
    <w:rsid w:val="00343123"/>
    <w:rsid w:val="003440A9"/>
    <w:rsid w:val="00347761"/>
    <w:rsid w:val="00347DD9"/>
    <w:rsid w:val="00347DF7"/>
    <w:rsid w:val="003504B3"/>
    <w:rsid w:val="00350B03"/>
    <w:rsid w:val="00351082"/>
    <w:rsid w:val="00351804"/>
    <w:rsid w:val="00351F18"/>
    <w:rsid w:val="00352361"/>
    <w:rsid w:val="00353081"/>
    <w:rsid w:val="0035366E"/>
    <w:rsid w:val="00355B9E"/>
    <w:rsid w:val="00356656"/>
    <w:rsid w:val="00362010"/>
    <w:rsid w:val="00363C50"/>
    <w:rsid w:val="00364CD8"/>
    <w:rsid w:val="00365D36"/>
    <w:rsid w:val="00370C53"/>
    <w:rsid w:val="003720DB"/>
    <w:rsid w:val="00372441"/>
    <w:rsid w:val="0037258B"/>
    <w:rsid w:val="00374C35"/>
    <w:rsid w:val="00375388"/>
    <w:rsid w:val="0037621A"/>
    <w:rsid w:val="00376DBB"/>
    <w:rsid w:val="00377E43"/>
    <w:rsid w:val="003822E1"/>
    <w:rsid w:val="003826B0"/>
    <w:rsid w:val="0038382F"/>
    <w:rsid w:val="00383A2A"/>
    <w:rsid w:val="003851B2"/>
    <w:rsid w:val="00385342"/>
    <w:rsid w:val="003854D3"/>
    <w:rsid w:val="0038635E"/>
    <w:rsid w:val="00390204"/>
    <w:rsid w:val="003908D2"/>
    <w:rsid w:val="00392097"/>
    <w:rsid w:val="003924D0"/>
    <w:rsid w:val="0039525B"/>
    <w:rsid w:val="003A0293"/>
    <w:rsid w:val="003A35B8"/>
    <w:rsid w:val="003A37AA"/>
    <w:rsid w:val="003A3AB0"/>
    <w:rsid w:val="003A6785"/>
    <w:rsid w:val="003B3DB9"/>
    <w:rsid w:val="003B447A"/>
    <w:rsid w:val="003B7708"/>
    <w:rsid w:val="003C0ED3"/>
    <w:rsid w:val="003C1B2E"/>
    <w:rsid w:val="003C2022"/>
    <w:rsid w:val="003C24AD"/>
    <w:rsid w:val="003C3471"/>
    <w:rsid w:val="003C50CA"/>
    <w:rsid w:val="003C578A"/>
    <w:rsid w:val="003C5D7E"/>
    <w:rsid w:val="003C7D3C"/>
    <w:rsid w:val="003D17C1"/>
    <w:rsid w:val="003D2601"/>
    <w:rsid w:val="003D27E3"/>
    <w:rsid w:val="003D28E6"/>
    <w:rsid w:val="003D29A7"/>
    <w:rsid w:val="003D68A6"/>
    <w:rsid w:val="003D7469"/>
    <w:rsid w:val="003E0B3A"/>
    <w:rsid w:val="003E2C02"/>
    <w:rsid w:val="003E2C04"/>
    <w:rsid w:val="003E3138"/>
    <w:rsid w:val="003E3757"/>
    <w:rsid w:val="003E57E9"/>
    <w:rsid w:val="003E693A"/>
    <w:rsid w:val="003F282D"/>
    <w:rsid w:val="003F2833"/>
    <w:rsid w:val="003F3D65"/>
    <w:rsid w:val="003F5CEB"/>
    <w:rsid w:val="00404D49"/>
    <w:rsid w:val="00405198"/>
    <w:rsid w:val="0040669F"/>
    <w:rsid w:val="00407CDE"/>
    <w:rsid w:val="00411658"/>
    <w:rsid w:val="00412A7D"/>
    <w:rsid w:val="004179FD"/>
    <w:rsid w:val="00421157"/>
    <w:rsid w:val="00421A2E"/>
    <w:rsid w:val="00421FD9"/>
    <w:rsid w:val="00422316"/>
    <w:rsid w:val="0042474E"/>
    <w:rsid w:val="00425C88"/>
    <w:rsid w:val="00425E32"/>
    <w:rsid w:val="0042789F"/>
    <w:rsid w:val="004319C9"/>
    <w:rsid w:val="00432D7F"/>
    <w:rsid w:val="00433F0B"/>
    <w:rsid w:val="00436909"/>
    <w:rsid w:val="00437FD0"/>
    <w:rsid w:val="004402AC"/>
    <w:rsid w:val="004403EE"/>
    <w:rsid w:val="00440948"/>
    <w:rsid w:val="00441A9E"/>
    <w:rsid w:val="004452D5"/>
    <w:rsid w:val="00446AFD"/>
    <w:rsid w:val="004528AF"/>
    <w:rsid w:val="004536D7"/>
    <w:rsid w:val="00454C03"/>
    <w:rsid w:val="0045551D"/>
    <w:rsid w:val="00455761"/>
    <w:rsid w:val="00455FC4"/>
    <w:rsid w:val="00456831"/>
    <w:rsid w:val="00456AFC"/>
    <w:rsid w:val="00456F88"/>
    <w:rsid w:val="0045725F"/>
    <w:rsid w:val="00457F98"/>
    <w:rsid w:val="00460736"/>
    <w:rsid w:val="004634BE"/>
    <w:rsid w:val="00470E93"/>
    <w:rsid w:val="004713C2"/>
    <w:rsid w:val="00472F34"/>
    <w:rsid w:val="00472F6D"/>
    <w:rsid w:val="0047469B"/>
    <w:rsid w:val="00477A03"/>
    <w:rsid w:val="00477B3D"/>
    <w:rsid w:val="00482C15"/>
    <w:rsid w:val="004838D9"/>
    <w:rsid w:val="00484822"/>
    <w:rsid w:val="00485D55"/>
    <w:rsid w:val="0049409E"/>
    <w:rsid w:val="004960D4"/>
    <w:rsid w:val="0049682C"/>
    <w:rsid w:val="004A1410"/>
    <w:rsid w:val="004A18D3"/>
    <w:rsid w:val="004A3F30"/>
    <w:rsid w:val="004A5FF3"/>
    <w:rsid w:val="004B22B8"/>
    <w:rsid w:val="004B3E41"/>
    <w:rsid w:val="004B525F"/>
    <w:rsid w:val="004B552B"/>
    <w:rsid w:val="004B6657"/>
    <w:rsid w:val="004B7C07"/>
    <w:rsid w:val="004C0D40"/>
    <w:rsid w:val="004C602D"/>
    <w:rsid w:val="004C6CD8"/>
    <w:rsid w:val="004D2ABB"/>
    <w:rsid w:val="004D3CA6"/>
    <w:rsid w:val="004D487C"/>
    <w:rsid w:val="004D5473"/>
    <w:rsid w:val="004D7029"/>
    <w:rsid w:val="004E0274"/>
    <w:rsid w:val="004E0D31"/>
    <w:rsid w:val="004E1629"/>
    <w:rsid w:val="004E1B0E"/>
    <w:rsid w:val="004E41D3"/>
    <w:rsid w:val="004E61E8"/>
    <w:rsid w:val="004E647E"/>
    <w:rsid w:val="004E6ACD"/>
    <w:rsid w:val="004E6B3C"/>
    <w:rsid w:val="004E785D"/>
    <w:rsid w:val="004F189F"/>
    <w:rsid w:val="004F2363"/>
    <w:rsid w:val="004F2969"/>
    <w:rsid w:val="004F353F"/>
    <w:rsid w:val="004F4A92"/>
    <w:rsid w:val="004F62CF"/>
    <w:rsid w:val="00502FAD"/>
    <w:rsid w:val="00507DF5"/>
    <w:rsid w:val="00510F29"/>
    <w:rsid w:val="005121D2"/>
    <w:rsid w:val="005130C3"/>
    <w:rsid w:val="00513189"/>
    <w:rsid w:val="00513C73"/>
    <w:rsid w:val="00513E84"/>
    <w:rsid w:val="00517918"/>
    <w:rsid w:val="00520E83"/>
    <w:rsid w:val="0052385B"/>
    <w:rsid w:val="0052413A"/>
    <w:rsid w:val="00524B68"/>
    <w:rsid w:val="00524BF6"/>
    <w:rsid w:val="0052748A"/>
    <w:rsid w:val="0052769A"/>
    <w:rsid w:val="00527DE8"/>
    <w:rsid w:val="00532296"/>
    <w:rsid w:val="00532317"/>
    <w:rsid w:val="005324A5"/>
    <w:rsid w:val="00541382"/>
    <w:rsid w:val="00541481"/>
    <w:rsid w:val="00541A6A"/>
    <w:rsid w:val="00542523"/>
    <w:rsid w:val="00546D71"/>
    <w:rsid w:val="0054707C"/>
    <w:rsid w:val="0054791C"/>
    <w:rsid w:val="0055340D"/>
    <w:rsid w:val="0055385D"/>
    <w:rsid w:val="00561640"/>
    <w:rsid w:val="00563A9F"/>
    <w:rsid w:val="00563CB8"/>
    <w:rsid w:val="00563DC9"/>
    <w:rsid w:val="005641F5"/>
    <w:rsid w:val="00565871"/>
    <w:rsid w:val="00565C9F"/>
    <w:rsid w:val="00567E85"/>
    <w:rsid w:val="00570901"/>
    <w:rsid w:val="00576E4A"/>
    <w:rsid w:val="00581401"/>
    <w:rsid w:val="005837C5"/>
    <w:rsid w:val="00583FF7"/>
    <w:rsid w:val="00585771"/>
    <w:rsid w:val="00585A0D"/>
    <w:rsid w:val="005875D8"/>
    <w:rsid w:val="00592036"/>
    <w:rsid w:val="00592D68"/>
    <w:rsid w:val="00593697"/>
    <w:rsid w:val="00595905"/>
    <w:rsid w:val="005960E3"/>
    <w:rsid w:val="005A4805"/>
    <w:rsid w:val="005A7968"/>
    <w:rsid w:val="005B1F83"/>
    <w:rsid w:val="005B22B2"/>
    <w:rsid w:val="005B3D78"/>
    <w:rsid w:val="005B6125"/>
    <w:rsid w:val="005B7C0E"/>
    <w:rsid w:val="005B7E6E"/>
    <w:rsid w:val="005C1B79"/>
    <w:rsid w:val="005C4572"/>
    <w:rsid w:val="005C502F"/>
    <w:rsid w:val="005C6AD1"/>
    <w:rsid w:val="005C7B5F"/>
    <w:rsid w:val="005D1A2E"/>
    <w:rsid w:val="005D7C72"/>
    <w:rsid w:val="005E1BAE"/>
    <w:rsid w:val="005E1F34"/>
    <w:rsid w:val="005E2E87"/>
    <w:rsid w:val="005E3CE8"/>
    <w:rsid w:val="005E6983"/>
    <w:rsid w:val="005F147C"/>
    <w:rsid w:val="005F34AE"/>
    <w:rsid w:val="005F55EB"/>
    <w:rsid w:val="005F5D35"/>
    <w:rsid w:val="005F5FFB"/>
    <w:rsid w:val="005F657A"/>
    <w:rsid w:val="00602E5E"/>
    <w:rsid w:val="00603970"/>
    <w:rsid w:val="00603F73"/>
    <w:rsid w:val="006044CD"/>
    <w:rsid w:val="00607856"/>
    <w:rsid w:val="006124D5"/>
    <w:rsid w:val="00620E60"/>
    <w:rsid w:val="0062277B"/>
    <w:rsid w:val="006261E1"/>
    <w:rsid w:val="00626E4A"/>
    <w:rsid w:val="0063653C"/>
    <w:rsid w:val="0063719C"/>
    <w:rsid w:val="0063729A"/>
    <w:rsid w:val="006375AF"/>
    <w:rsid w:val="00641943"/>
    <w:rsid w:val="00641DC5"/>
    <w:rsid w:val="00643550"/>
    <w:rsid w:val="00644540"/>
    <w:rsid w:val="00644E43"/>
    <w:rsid w:val="00645C3F"/>
    <w:rsid w:val="00646088"/>
    <w:rsid w:val="00651092"/>
    <w:rsid w:val="00651F01"/>
    <w:rsid w:val="00652A05"/>
    <w:rsid w:val="00653ABB"/>
    <w:rsid w:val="0066211A"/>
    <w:rsid w:val="00663A00"/>
    <w:rsid w:val="006661AE"/>
    <w:rsid w:val="006667A3"/>
    <w:rsid w:val="00667B94"/>
    <w:rsid w:val="0067637E"/>
    <w:rsid w:val="00677FB3"/>
    <w:rsid w:val="0068018C"/>
    <w:rsid w:val="00682978"/>
    <w:rsid w:val="0069247E"/>
    <w:rsid w:val="006924F4"/>
    <w:rsid w:val="00694181"/>
    <w:rsid w:val="00696173"/>
    <w:rsid w:val="006A09D6"/>
    <w:rsid w:val="006A19CE"/>
    <w:rsid w:val="006A3594"/>
    <w:rsid w:val="006B0965"/>
    <w:rsid w:val="006B3A4F"/>
    <w:rsid w:val="006B3B61"/>
    <w:rsid w:val="006B61DD"/>
    <w:rsid w:val="006B7CCB"/>
    <w:rsid w:val="006C384E"/>
    <w:rsid w:val="006C604E"/>
    <w:rsid w:val="006D50B0"/>
    <w:rsid w:val="006D5208"/>
    <w:rsid w:val="006E4C84"/>
    <w:rsid w:val="006E7A67"/>
    <w:rsid w:val="006E7D3C"/>
    <w:rsid w:val="006F3BD7"/>
    <w:rsid w:val="0070541E"/>
    <w:rsid w:val="00706F6F"/>
    <w:rsid w:val="00706F7A"/>
    <w:rsid w:val="00707670"/>
    <w:rsid w:val="007130D7"/>
    <w:rsid w:val="0071568E"/>
    <w:rsid w:val="007163C2"/>
    <w:rsid w:val="00717637"/>
    <w:rsid w:val="00717717"/>
    <w:rsid w:val="0071780D"/>
    <w:rsid w:val="0072440D"/>
    <w:rsid w:val="00724760"/>
    <w:rsid w:val="00730123"/>
    <w:rsid w:val="0073192F"/>
    <w:rsid w:val="00733C74"/>
    <w:rsid w:val="00734C31"/>
    <w:rsid w:val="00737EE7"/>
    <w:rsid w:val="00737FCE"/>
    <w:rsid w:val="00740299"/>
    <w:rsid w:val="00741955"/>
    <w:rsid w:val="00743357"/>
    <w:rsid w:val="00745A89"/>
    <w:rsid w:val="00745C59"/>
    <w:rsid w:val="00754D39"/>
    <w:rsid w:val="00756B98"/>
    <w:rsid w:val="00760BEA"/>
    <w:rsid w:val="007623AE"/>
    <w:rsid w:val="0076269D"/>
    <w:rsid w:val="00763608"/>
    <w:rsid w:val="007647CF"/>
    <w:rsid w:val="00766336"/>
    <w:rsid w:val="0076658E"/>
    <w:rsid w:val="00767641"/>
    <w:rsid w:val="00772135"/>
    <w:rsid w:val="00772FCA"/>
    <w:rsid w:val="0077398D"/>
    <w:rsid w:val="00774FB6"/>
    <w:rsid w:val="00785A6F"/>
    <w:rsid w:val="0079682C"/>
    <w:rsid w:val="00796D57"/>
    <w:rsid w:val="00797281"/>
    <w:rsid w:val="007A097D"/>
    <w:rsid w:val="007A1C64"/>
    <w:rsid w:val="007A4C87"/>
    <w:rsid w:val="007A58E3"/>
    <w:rsid w:val="007B0EDD"/>
    <w:rsid w:val="007B2F6F"/>
    <w:rsid w:val="007B55EE"/>
    <w:rsid w:val="007B5B06"/>
    <w:rsid w:val="007B764B"/>
    <w:rsid w:val="007C0F94"/>
    <w:rsid w:val="007C14C1"/>
    <w:rsid w:val="007C3EEB"/>
    <w:rsid w:val="007C65B5"/>
    <w:rsid w:val="007C7DB0"/>
    <w:rsid w:val="007C7DD4"/>
    <w:rsid w:val="007D1715"/>
    <w:rsid w:val="007D2F12"/>
    <w:rsid w:val="007D3CB5"/>
    <w:rsid w:val="007D59D9"/>
    <w:rsid w:val="007D5E53"/>
    <w:rsid w:val="007E2741"/>
    <w:rsid w:val="007E463A"/>
    <w:rsid w:val="007E4E86"/>
    <w:rsid w:val="007E7665"/>
    <w:rsid w:val="007F66F8"/>
    <w:rsid w:val="007F75F7"/>
    <w:rsid w:val="007F76FC"/>
    <w:rsid w:val="00800384"/>
    <w:rsid w:val="00800C6A"/>
    <w:rsid w:val="008029C9"/>
    <w:rsid w:val="008042F8"/>
    <w:rsid w:val="00804C62"/>
    <w:rsid w:val="00805C3B"/>
    <w:rsid w:val="00807C6B"/>
    <w:rsid w:val="00810622"/>
    <w:rsid w:val="008139A0"/>
    <w:rsid w:val="0081422C"/>
    <w:rsid w:val="0081458C"/>
    <w:rsid w:val="008151E5"/>
    <w:rsid w:val="00820CEE"/>
    <w:rsid w:val="00820EF9"/>
    <w:rsid w:val="0082140F"/>
    <w:rsid w:val="0082210F"/>
    <w:rsid w:val="008228CD"/>
    <w:rsid w:val="008261D2"/>
    <w:rsid w:val="00831B4C"/>
    <w:rsid w:val="008336BE"/>
    <w:rsid w:val="00835495"/>
    <w:rsid w:val="00841B59"/>
    <w:rsid w:val="008434A6"/>
    <w:rsid w:val="0084358E"/>
    <w:rsid w:val="008457B0"/>
    <w:rsid w:val="00847A03"/>
    <w:rsid w:val="00850CE6"/>
    <w:rsid w:val="00851167"/>
    <w:rsid w:val="00853CF3"/>
    <w:rsid w:val="00854A81"/>
    <w:rsid w:val="00854FB0"/>
    <w:rsid w:val="008572B2"/>
    <w:rsid w:val="00860A88"/>
    <w:rsid w:val="00862653"/>
    <w:rsid w:val="008632A4"/>
    <w:rsid w:val="00864A80"/>
    <w:rsid w:val="00866C1A"/>
    <w:rsid w:val="00872393"/>
    <w:rsid w:val="0087251E"/>
    <w:rsid w:val="008732CC"/>
    <w:rsid w:val="00874AF4"/>
    <w:rsid w:val="00874F40"/>
    <w:rsid w:val="008751F6"/>
    <w:rsid w:val="00875D0A"/>
    <w:rsid w:val="00876632"/>
    <w:rsid w:val="00880118"/>
    <w:rsid w:val="00880AAD"/>
    <w:rsid w:val="00883761"/>
    <w:rsid w:val="00884AB6"/>
    <w:rsid w:val="008850D2"/>
    <w:rsid w:val="008907FE"/>
    <w:rsid w:val="00892212"/>
    <w:rsid w:val="00893930"/>
    <w:rsid w:val="00893A85"/>
    <w:rsid w:val="00897DD9"/>
    <w:rsid w:val="00897E18"/>
    <w:rsid w:val="008A0F55"/>
    <w:rsid w:val="008A1774"/>
    <w:rsid w:val="008A2DA8"/>
    <w:rsid w:val="008A487C"/>
    <w:rsid w:val="008A5010"/>
    <w:rsid w:val="008A6C73"/>
    <w:rsid w:val="008A7263"/>
    <w:rsid w:val="008B1311"/>
    <w:rsid w:val="008B31CC"/>
    <w:rsid w:val="008B456C"/>
    <w:rsid w:val="008B4892"/>
    <w:rsid w:val="008B5DE1"/>
    <w:rsid w:val="008B6FF1"/>
    <w:rsid w:val="008B73BB"/>
    <w:rsid w:val="008C1826"/>
    <w:rsid w:val="008C2ACD"/>
    <w:rsid w:val="008C3250"/>
    <w:rsid w:val="008C7679"/>
    <w:rsid w:val="008D0396"/>
    <w:rsid w:val="008D3566"/>
    <w:rsid w:val="008D3BC0"/>
    <w:rsid w:val="008D4620"/>
    <w:rsid w:val="008D5D6B"/>
    <w:rsid w:val="008D7FF7"/>
    <w:rsid w:val="008E21B9"/>
    <w:rsid w:val="008E2674"/>
    <w:rsid w:val="008E4A19"/>
    <w:rsid w:val="008E6106"/>
    <w:rsid w:val="008E643F"/>
    <w:rsid w:val="008F0C56"/>
    <w:rsid w:val="009000C9"/>
    <w:rsid w:val="00902517"/>
    <w:rsid w:val="009032C6"/>
    <w:rsid w:val="00903656"/>
    <w:rsid w:val="00903FF1"/>
    <w:rsid w:val="009058EE"/>
    <w:rsid w:val="009062ED"/>
    <w:rsid w:val="0090775D"/>
    <w:rsid w:val="00910D6A"/>
    <w:rsid w:val="00910D8E"/>
    <w:rsid w:val="00913013"/>
    <w:rsid w:val="009135A8"/>
    <w:rsid w:val="0091722D"/>
    <w:rsid w:val="00922E34"/>
    <w:rsid w:val="009312DD"/>
    <w:rsid w:val="00933100"/>
    <w:rsid w:val="00934F97"/>
    <w:rsid w:val="00937D6D"/>
    <w:rsid w:val="009403AD"/>
    <w:rsid w:val="0094277B"/>
    <w:rsid w:val="00954E3E"/>
    <w:rsid w:val="00956DFC"/>
    <w:rsid w:val="00957054"/>
    <w:rsid w:val="0096199D"/>
    <w:rsid w:val="00962802"/>
    <w:rsid w:val="00962AF3"/>
    <w:rsid w:val="00963CDE"/>
    <w:rsid w:val="00966D72"/>
    <w:rsid w:val="00967678"/>
    <w:rsid w:val="0097223B"/>
    <w:rsid w:val="00973066"/>
    <w:rsid w:val="009732BA"/>
    <w:rsid w:val="009746D8"/>
    <w:rsid w:val="0098148A"/>
    <w:rsid w:val="009830B1"/>
    <w:rsid w:val="00984584"/>
    <w:rsid w:val="009845D5"/>
    <w:rsid w:val="009859E7"/>
    <w:rsid w:val="00986B54"/>
    <w:rsid w:val="009A0390"/>
    <w:rsid w:val="009A2FEF"/>
    <w:rsid w:val="009A3159"/>
    <w:rsid w:val="009B0F30"/>
    <w:rsid w:val="009B12D0"/>
    <w:rsid w:val="009B14FE"/>
    <w:rsid w:val="009B1541"/>
    <w:rsid w:val="009B4FE2"/>
    <w:rsid w:val="009B7417"/>
    <w:rsid w:val="009B7C85"/>
    <w:rsid w:val="009C0391"/>
    <w:rsid w:val="009C2014"/>
    <w:rsid w:val="009C3C09"/>
    <w:rsid w:val="009C6E69"/>
    <w:rsid w:val="009D0B7A"/>
    <w:rsid w:val="009D12CD"/>
    <w:rsid w:val="009D1795"/>
    <w:rsid w:val="009D2572"/>
    <w:rsid w:val="009D7A83"/>
    <w:rsid w:val="009E05C6"/>
    <w:rsid w:val="009E07D2"/>
    <w:rsid w:val="009E54F9"/>
    <w:rsid w:val="009E734D"/>
    <w:rsid w:val="009F234D"/>
    <w:rsid w:val="009F2F42"/>
    <w:rsid w:val="009F31D9"/>
    <w:rsid w:val="009F3652"/>
    <w:rsid w:val="009F3D9E"/>
    <w:rsid w:val="009F5EE8"/>
    <w:rsid w:val="009F7FEC"/>
    <w:rsid w:val="00A0163A"/>
    <w:rsid w:val="00A05793"/>
    <w:rsid w:val="00A07A4E"/>
    <w:rsid w:val="00A12F05"/>
    <w:rsid w:val="00A14F0A"/>
    <w:rsid w:val="00A20C38"/>
    <w:rsid w:val="00A2368C"/>
    <w:rsid w:val="00A24DAB"/>
    <w:rsid w:val="00A253EA"/>
    <w:rsid w:val="00A31491"/>
    <w:rsid w:val="00A32E00"/>
    <w:rsid w:val="00A365FC"/>
    <w:rsid w:val="00A40494"/>
    <w:rsid w:val="00A4462B"/>
    <w:rsid w:val="00A4688B"/>
    <w:rsid w:val="00A533FF"/>
    <w:rsid w:val="00A53B79"/>
    <w:rsid w:val="00A63613"/>
    <w:rsid w:val="00A65FF8"/>
    <w:rsid w:val="00A73105"/>
    <w:rsid w:val="00A75116"/>
    <w:rsid w:val="00A7608E"/>
    <w:rsid w:val="00A77308"/>
    <w:rsid w:val="00A77DF6"/>
    <w:rsid w:val="00A83122"/>
    <w:rsid w:val="00A86FFE"/>
    <w:rsid w:val="00A908AC"/>
    <w:rsid w:val="00A948B3"/>
    <w:rsid w:val="00A95E92"/>
    <w:rsid w:val="00A968CA"/>
    <w:rsid w:val="00AA0831"/>
    <w:rsid w:val="00AA1DC0"/>
    <w:rsid w:val="00AA1F53"/>
    <w:rsid w:val="00AA5F43"/>
    <w:rsid w:val="00AB1B69"/>
    <w:rsid w:val="00AB5308"/>
    <w:rsid w:val="00AB5FF7"/>
    <w:rsid w:val="00AB76DF"/>
    <w:rsid w:val="00AC1DE5"/>
    <w:rsid w:val="00AC1F67"/>
    <w:rsid w:val="00AC2AB4"/>
    <w:rsid w:val="00AC4A7A"/>
    <w:rsid w:val="00AC6383"/>
    <w:rsid w:val="00AC6562"/>
    <w:rsid w:val="00AC760F"/>
    <w:rsid w:val="00AC79DE"/>
    <w:rsid w:val="00AD1F2D"/>
    <w:rsid w:val="00AD26BF"/>
    <w:rsid w:val="00AD2E2E"/>
    <w:rsid w:val="00AD320E"/>
    <w:rsid w:val="00AD440D"/>
    <w:rsid w:val="00AD6C91"/>
    <w:rsid w:val="00AE01CA"/>
    <w:rsid w:val="00AE14E2"/>
    <w:rsid w:val="00AE2EA4"/>
    <w:rsid w:val="00AE3076"/>
    <w:rsid w:val="00AE3235"/>
    <w:rsid w:val="00AE51CE"/>
    <w:rsid w:val="00AE5449"/>
    <w:rsid w:val="00AE7B50"/>
    <w:rsid w:val="00AF1F26"/>
    <w:rsid w:val="00AF28FD"/>
    <w:rsid w:val="00AF3526"/>
    <w:rsid w:val="00AF3677"/>
    <w:rsid w:val="00AF5A63"/>
    <w:rsid w:val="00B00346"/>
    <w:rsid w:val="00B0080F"/>
    <w:rsid w:val="00B01708"/>
    <w:rsid w:val="00B044E7"/>
    <w:rsid w:val="00B05B1C"/>
    <w:rsid w:val="00B06A6B"/>
    <w:rsid w:val="00B10BF2"/>
    <w:rsid w:val="00B1409A"/>
    <w:rsid w:val="00B149C0"/>
    <w:rsid w:val="00B149F0"/>
    <w:rsid w:val="00B205E1"/>
    <w:rsid w:val="00B20B90"/>
    <w:rsid w:val="00B231AA"/>
    <w:rsid w:val="00B23AD5"/>
    <w:rsid w:val="00B250F2"/>
    <w:rsid w:val="00B2540B"/>
    <w:rsid w:val="00B27639"/>
    <w:rsid w:val="00B30092"/>
    <w:rsid w:val="00B30BF5"/>
    <w:rsid w:val="00B31BA2"/>
    <w:rsid w:val="00B32C6A"/>
    <w:rsid w:val="00B36657"/>
    <w:rsid w:val="00B42C4C"/>
    <w:rsid w:val="00B468BB"/>
    <w:rsid w:val="00B46C45"/>
    <w:rsid w:val="00B5282C"/>
    <w:rsid w:val="00B53F6C"/>
    <w:rsid w:val="00B56AF8"/>
    <w:rsid w:val="00B57A9F"/>
    <w:rsid w:val="00B6092B"/>
    <w:rsid w:val="00B61121"/>
    <w:rsid w:val="00B64ABB"/>
    <w:rsid w:val="00B66DB7"/>
    <w:rsid w:val="00B71188"/>
    <w:rsid w:val="00B7194E"/>
    <w:rsid w:val="00B75489"/>
    <w:rsid w:val="00B76D5E"/>
    <w:rsid w:val="00B7736C"/>
    <w:rsid w:val="00B80621"/>
    <w:rsid w:val="00B814AB"/>
    <w:rsid w:val="00B81916"/>
    <w:rsid w:val="00B84479"/>
    <w:rsid w:val="00B847D2"/>
    <w:rsid w:val="00B85F0E"/>
    <w:rsid w:val="00B934CE"/>
    <w:rsid w:val="00BA15C4"/>
    <w:rsid w:val="00BA4548"/>
    <w:rsid w:val="00BA46CB"/>
    <w:rsid w:val="00BA536E"/>
    <w:rsid w:val="00BA6CB2"/>
    <w:rsid w:val="00BA6E05"/>
    <w:rsid w:val="00BA7D7C"/>
    <w:rsid w:val="00BA7F1C"/>
    <w:rsid w:val="00BB0B8D"/>
    <w:rsid w:val="00BB27BA"/>
    <w:rsid w:val="00BB3487"/>
    <w:rsid w:val="00BB459A"/>
    <w:rsid w:val="00BB4709"/>
    <w:rsid w:val="00BB52F5"/>
    <w:rsid w:val="00BC16C1"/>
    <w:rsid w:val="00BC1873"/>
    <w:rsid w:val="00BC3880"/>
    <w:rsid w:val="00BC4ADE"/>
    <w:rsid w:val="00BC54A9"/>
    <w:rsid w:val="00BC55AA"/>
    <w:rsid w:val="00BC73E5"/>
    <w:rsid w:val="00BD28C9"/>
    <w:rsid w:val="00BD2C12"/>
    <w:rsid w:val="00BD6D92"/>
    <w:rsid w:val="00BD7AD4"/>
    <w:rsid w:val="00BD7B6F"/>
    <w:rsid w:val="00BE3837"/>
    <w:rsid w:val="00BE4EBD"/>
    <w:rsid w:val="00BE6EFE"/>
    <w:rsid w:val="00BF6DF5"/>
    <w:rsid w:val="00C02E75"/>
    <w:rsid w:val="00C02EC2"/>
    <w:rsid w:val="00C07D88"/>
    <w:rsid w:val="00C103D5"/>
    <w:rsid w:val="00C151B9"/>
    <w:rsid w:val="00C17AF0"/>
    <w:rsid w:val="00C20262"/>
    <w:rsid w:val="00C2075B"/>
    <w:rsid w:val="00C208EA"/>
    <w:rsid w:val="00C2283A"/>
    <w:rsid w:val="00C252EF"/>
    <w:rsid w:val="00C25C43"/>
    <w:rsid w:val="00C25CB8"/>
    <w:rsid w:val="00C25D4D"/>
    <w:rsid w:val="00C27E34"/>
    <w:rsid w:val="00C27EBC"/>
    <w:rsid w:val="00C33257"/>
    <w:rsid w:val="00C34B83"/>
    <w:rsid w:val="00C35232"/>
    <w:rsid w:val="00C35E26"/>
    <w:rsid w:val="00C37C75"/>
    <w:rsid w:val="00C419B4"/>
    <w:rsid w:val="00C424C5"/>
    <w:rsid w:val="00C42C58"/>
    <w:rsid w:val="00C441BE"/>
    <w:rsid w:val="00C45F94"/>
    <w:rsid w:val="00C4787C"/>
    <w:rsid w:val="00C5015B"/>
    <w:rsid w:val="00C503F3"/>
    <w:rsid w:val="00C512D6"/>
    <w:rsid w:val="00C52FD6"/>
    <w:rsid w:val="00C5367D"/>
    <w:rsid w:val="00C54B32"/>
    <w:rsid w:val="00C57F3A"/>
    <w:rsid w:val="00C63341"/>
    <w:rsid w:val="00C70376"/>
    <w:rsid w:val="00C7162F"/>
    <w:rsid w:val="00C745E1"/>
    <w:rsid w:val="00C843C2"/>
    <w:rsid w:val="00C846F2"/>
    <w:rsid w:val="00C84FDF"/>
    <w:rsid w:val="00C91011"/>
    <w:rsid w:val="00C920BB"/>
    <w:rsid w:val="00C9359E"/>
    <w:rsid w:val="00C94AC5"/>
    <w:rsid w:val="00C9623A"/>
    <w:rsid w:val="00C96A3D"/>
    <w:rsid w:val="00CA06DD"/>
    <w:rsid w:val="00CA4337"/>
    <w:rsid w:val="00CA53F8"/>
    <w:rsid w:val="00CA5C7B"/>
    <w:rsid w:val="00CA6CC7"/>
    <w:rsid w:val="00CB26AF"/>
    <w:rsid w:val="00CB4795"/>
    <w:rsid w:val="00CC1BF8"/>
    <w:rsid w:val="00CC2982"/>
    <w:rsid w:val="00CC3C40"/>
    <w:rsid w:val="00CC605E"/>
    <w:rsid w:val="00CC6E60"/>
    <w:rsid w:val="00CD1A34"/>
    <w:rsid w:val="00CD3A81"/>
    <w:rsid w:val="00CD41BF"/>
    <w:rsid w:val="00CD4793"/>
    <w:rsid w:val="00CD61D0"/>
    <w:rsid w:val="00CE0D9A"/>
    <w:rsid w:val="00CE2836"/>
    <w:rsid w:val="00CE3487"/>
    <w:rsid w:val="00CE3F83"/>
    <w:rsid w:val="00CE5BEA"/>
    <w:rsid w:val="00CE6C54"/>
    <w:rsid w:val="00CF08C2"/>
    <w:rsid w:val="00CF12FC"/>
    <w:rsid w:val="00CF2582"/>
    <w:rsid w:val="00CF279A"/>
    <w:rsid w:val="00CF2986"/>
    <w:rsid w:val="00CF498D"/>
    <w:rsid w:val="00D031FA"/>
    <w:rsid w:val="00D058F1"/>
    <w:rsid w:val="00D066BA"/>
    <w:rsid w:val="00D066C5"/>
    <w:rsid w:val="00D22B12"/>
    <w:rsid w:val="00D2326D"/>
    <w:rsid w:val="00D257AC"/>
    <w:rsid w:val="00D305C9"/>
    <w:rsid w:val="00D3179C"/>
    <w:rsid w:val="00D31C4D"/>
    <w:rsid w:val="00D32E51"/>
    <w:rsid w:val="00D3492E"/>
    <w:rsid w:val="00D36C11"/>
    <w:rsid w:val="00D37382"/>
    <w:rsid w:val="00D374A9"/>
    <w:rsid w:val="00D40713"/>
    <w:rsid w:val="00D41B54"/>
    <w:rsid w:val="00D4259D"/>
    <w:rsid w:val="00D44710"/>
    <w:rsid w:val="00D45870"/>
    <w:rsid w:val="00D465EB"/>
    <w:rsid w:val="00D4700C"/>
    <w:rsid w:val="00D479EE"/>
    <w:rsid w:val="00D52801"/>
    <w:rsid w:val="00D52EBD"/>
    <w:rsid w:val="00D5676B"/>
    <w:rsid w:val="00D57066"/>
    <w:rsid w:val="00D6489F"/>
    <w:rsid w:val="00D76DFD"/>
    <w:rsid w:val="00D81050"/>
    <w:rsid w:val="00D835A7"/>
    <w:rsid w:val="00D83E96"/>
    <w:rsid w:val="00D920A6"/>
    <w:rsid w:val="00D92EA5"/>
    <w:rsid w:val="00D931C0"/>
    <w:rsid w:val="00D9328F"/>
    <w:rsid w:val="00D94FAB"/>
    <w:rsid w:val="00D95A65"/>
    <w:rsid w:val="00D97802"/>
    <w:rsid w:val="00DA030E"/>
    <w:rsid w:val="00DA0453"/>
    <w:rsid w:val="00DA499C"/>
    <w:rsid w:val="00DA74BE"/>
    <w:rsid w:val="00DB34C3"/>
    <w:rsid w:val="00DB3C98"/>
    <w:rsid w:val="00DB7F90"/>
    <w:rsid w:val="00DC0419"/>
    <w:rsid w:val="00DC0591"/>
    <w:rsid w:val="00DC0ED3"/>
    <w:rsid w:val="00DC7604"/>
    <w:rsid w:val="00DD1CF4"/>
    <w:rsid w:val="00DD207B"/>
    <w:rsid w:val="00DD31FB"/>
    <w:rsid w:val="00DD6609"/>
    <w:rsid w:val="00DD6BA0"/>
    <w:rsid w:val="00DE4B8E"/>
    <w:rsid w:val="00DF212D"/>
    <w:rsid w:val="00DF29E2"/>
    <w:rsid w:val="00DF3D1C"/>
    <w:rsid w:val="00DF5111"/>
    <w:rsid w:val="00DF7ABE"/>
    <w:rsid w:val="00E003CD"/>
    <w:rsid w:val="00E01E67"/>
    <w:rsid w:val="00E0286B"/>
    <w:rsid w:val="00E07B34"/>
    <w:rsid w:val="00E14548"/>
    <w:rsid w:val="00E16070"/>
    <w:rsid w:val="00E1624A"/>
    <w:rsid w:val="00E173B3"/>
    <w:rsid w:val="00E17C6A"/>
    <w:rsid w:val="00E223DA"/>
    <w:rsid w:val="00E22A24"/>
    <w:rsid w:val="00E26A26"/>
    <w:rsid w:val="00E31816"/>
    <w:rsid w:val="00E31D9D"/>
    <w:rsid w:val="00E3245A"/>
    <w:rsid w:val="00E34105"/>
    <w:rsid w:val="00E40CF4"/>
    <w:rsid w:val="00E418BD"/>
    <w:rsid w:val="00E43913"/>
    <w:rsid w:val="00E44635"/>
    <w:rsid w:val="00E45744"/>
    <w:rsid w:val="00E45753"/>
    <w:rsid w:val="00E46711"/>
    <w:rsid w:val="00E50C8F"/>
    <w:rsid w:val="00E50D78"/>
    <w:rsid w:val="00E53E91"/>
    <w:rsid w:val="00E560AD"/>
    <w:rsid w:val="00E563AC"/>
    <w:rsid w:val="00E565D0"/>
    <w:rsid w:val="00E56C25"/>
    <w:rsid w:val="00E6028D"/>
    <w:rsid w:val="00E6036C"/>
    <w:rsid w:val="00E60525"/>
    <w:rsid w:val="00E60EEE"/>
    <w:rsid w:val="00E618D5"/>
    <w:rsid w:val="00E63363"/>
    <w:rsid w:val="00E63756"/>
    <w:rsid w:val="00E6588C"/>
    <w:rsid w:val="00E65C14"/>
    <w:rsid w:val="00E67FAB"/>
    <w:rsid w:val="00E7093F"/>
    <w:rsid w:val="00E712E2"/>
    <w:rsid w:val="00E7559A"/>
    <w:rsid w:val="00E75DA9"/>
    <w:rsid w:val="00E7754E"/>
    <w:rsid w:val="00E8520B"/>
    <w:rsid w:val="00E9190E"/>
    <w:rsid w:val="00E91F49"/>
    <w:rsid w:val="00E92C31"/>
    <w:rsid w:val="00E934DF"/>
    <w:rsid w:val="00E93803"/>
    <w:rsid w:val="00E946A0"/>
    <w:rsid w:val="00EA0C17"/>
    <w:rsid w:val="00EA3693"/>
    <w:rsid w:val="00EA44C5"/>
    <w:rsid w:val="00EA74B5"/>
    <w:rsid w:val="00EB359D"/>
    <w:rsid w:val="00EB4655"/>
    <w:rsid w:val="00EB4AAC"/>
    <w:rsid w:val="00EB6D24"/>
    <w:rsid w:val="00EB782B"/>
    <w:rsid w:val="00EC15E4"/>
    <w:rsid w:val="00EC1C61"/>
    <w:rsid w:val="00EC1E30"/>
    <w:rsid w:val="00EC238E"/>
    <w:rsid w:val="00EC3F22"/>
    <w:rsid w:val="00ED0044"/>
    <w:rsid w:val="00ED34EC"/>
    <w:rsid w:val="00ED47D5"/>
    <w:rsid w:val="00ED491F"/>
    <w:rsid w:val="00EE2ECB"/>
    <w:rsid w:val="00EE360E"/>
    <w:rsid w:val="00EE5419"/>
    <w:rsid w:val="00EE5F60"/>
    <w:rsid w:val="00EE66B9"/>
    <w:rsid w:val="00EF12C5"/>
    <w:rsid w:val="00EF3542"/>
    <w:rsid w:val="00EF404B"/>
    <w:rsid w:val="00EF6B31"/>
    <w:rsid w:val="00F0328E"/>
    <w:rsid w:val="00F07B41"/>
    <w:rsid w:val="00F10E78"/>
    <w:rsid w:val="00F10E87"/>
    <w:rsid w:val="00F12958"/>
    <w:rsid w:val="00F12E0B"/>
    <w:rsid w:val="00F143C7"/>
    <w:rsid w:val="00F21CD9"/>
    <w:rsid w:val="00F223DA"/>
    <w:rsid w:val="00F22B9E"/>
    <w:rsid w:val="00F26CE6"/>
    <w:rsid w:val="00F308FF"/>
    <w:rsid w:val="00F355C2"/>
    <w:rsid w:val="00F36D38"/>
    <w:rsid w:val="00F37D0F"/>
    <w:rsid w:val="00F37F20"/>
    <w:rsid w:val="00F41D88"/>
    <w:rsid w:val="00F43401"/>
    <w:rsid w:val="00F43553"/>
    <w:rsid w:val="00F4386A"/>
    <w:rsid w:val="00F44637"/>
    <w:rsid w:val="00F4480D"/>
    <w:rsid w:val="00F457A9"/>
    <w:rsid w:val="00F51705"/>
    <w:rsid w:val="00F52488"/>
    <w:rsid w:val="00F541F0"/>
    <w:rsid w:val="00F544D9"/>
    <w:rsid w:val="00F55F78"/>
    <w:rsid w:val="00F56240"/>
    <w:rsid w:val="00F60C57"/>
    <w:rsid w:val="00F64807"/>
    <w:rsid w:val="00F6568B"/>
    <w:rsid w:val="00F715CA"/>
    <w:rsid w:val="00F814D5"/>
    <w:rsid w:val="00F827B8"/>
    <w:rsid w:val="00F87643"/>
    <w:rsid w:val="00F92CB6"/>
    <w:rsid w:val="00F930F6"/>
    <w:rsid w:val="00F9409A"/>
    <w:rsid w:val="00F942C8"/>
    <w:rsid w:val="00F95CDE"/>
    <w:rsid w:val="00F96E22"/>
    <w:rsid w:val="00F97E06"/>
    <w:rsid w:val="00FA0A05"/>
    <w:rsid w:val="00FA3204"/>
    <w:rsid w:val="00FA3976"/>
    <w:rsid w:val="00FA413E"/>
    <w:rsid w:val="00FA6745"/>
    <w:rsid w:val="00FB1E08"/>
    <w:rsid w:val="00FB2878"/>
    <w:rsid w:val="00FB699A"/>
    <w:rsid w:val="00FB749D"/>
    <w:rsid w:val="00FB75ED"/>
    <w:rsid w:val="00FC0A6C"/>
    <w:rsid w:val="00FC349F"/>
    <w:rsid w:val="00FC5D7E"/>
    <w:rsid w:val="00FC714C"/>
    <w:rsid w:val="00FC79A2"/>
    <w:rsid w:val="00FD0E01"/>
    <w:rsid w:val="00FD275D"/>
    <w:rsid w:val="00FD4FCC"/>
    <w:rsid w:val="00FD550C"/>
    <w:rsid w:val="00FD5C90"/>
    <w:rsid w:val="00FD65E9"/>
    <w:rsid w:val="00FD6A91"/>
    <w:rsid w:val="00FD79A2"/>
    <w:rsid w:val="00FE06D2"/>
    <w:rsid w:val="00FE12D4"/>
    <w:rsid w:val="00FE28A3"/>
    <w:rsid w:val="00FE2A44"/>
    <w:rsid w:val="00FE6567"/>
    <w:rsid w:val="00FE662D"/>
    <w:rsid w:val="00FE66C4"/>
    <w:rsid w:val="00FF02DE"/>
    <w:rsid w:val="00FF1FA1"/>
    <w:rsid w:val="00FF3C49"/>
    <w:rsid w:val="00FF79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aliases w:val="*Normal"/>
    <w:qFormat/>
    <w:rsid w:val="00E946A0"/>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A24DAB"/>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A24DAB"/>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basedOn w:val="DefaultParagraphFont"/>
    <w:link w:val="FootnoteText"/>
    <w:uiPriority w:val="99"/>
    <w:semiHidden/>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next w:val="TA"/>
    <w:link w:val="LearningSequenceHeaderChar"/>
    <w:qFormat/>
    <w:rsid w:val="00984584"/>
    <w:pPr>
      <w:pBdr>
        <w:bottom w:val="single" w:sz="12" w:space="1" w:color="9BBB59" w:themeColor="accent3"/>
      </w:pBdr>
      <w:tabs>
        <w:tab w:val="right" w:pos="9360"/>
      </w:tabs>
      <w:spacing w:before="480"/>
    </w:pPr>
    <w:rPr>
      <w:rFonts w:asciiTheme="minorHAnsi" w:eastAsia="Times New Roman" w:hAnsiTheme="minorHAnsi"/>
      <w:b/>
      <w:bCs/>
      <w:color w:val="4F81BD"/>
      <w:sz w:val="28"/>
      <w:szCs w:val="26"/>
    </w:rPr>
  </w:style>
  <w:style w:type="paragraph" w:styleId="ListParagraph">
    <w:name w:val="List Paragraph"/>
    <w:basedOn w:val="Normal"/>
    <w:link w:val="ListParagraphChar"/>
    <w:uiPriority w:val="34"/>
    <w:rsid w:val="005F5D35"/>
    <w:pPr>
      <w:ind w:left="720"/>
      <w:contextualSpacing/>
    </w:pPr>
  </w:style>
  <w:style w:type="character" w:customStyle="1" w:styleId="LearningSequenceHeaderChar">
    <w:name w:val="*Learning Sequence Header Char"/>
    <w:basedOn w:val="Heading2Char"/>
    <w:link w:val="LearningSequenceHeader"/>
    <w:rsid w:val="00984584"/>
    <w:rPr>
      <w:rFonts w:asciiTheme="minorHAnsi" w:eastAsia="Times New Roman" w:hAnsiTheme="minorHAnsi" w:cs="Times New Roman"/>
      <w:b/>
      <w:bCs/>
      <w:i w:val="0"/>
      <w:color w:val="4F81BD"/>
      <w:sz w:val="28"/>
      <w:szCs w:val="26"/>
    </w:rPr>
  </w:style>
  <w:style w:type="paragraph" w:customStyle="1" w:styleId="TA">
    <w:name w:val="*TA*"/>
    <w:link w:val="TAChar"/>
    <w:qFormat/>
    <w:rsid w:val="00984584"/>
    <w:pPr>
      <w:spacing w:before="180" w:after="180"/>
    </w:pPr>
    <w:rPr>
      <w:sz w:val="22"/>
      <w:szCs w:val="22"/>
    </w:rPr>
  </w:style>
  <w:style w:type="character" w:customStyle="1" w:styleId="TAChar">
    <w:name w:val="*TA* Char"/>
    <w:basedOn w:val="DefaultParagraphFont"/>
    <w:link w:val="TA"/>
    <w:rsid w:val="00984584"/>
    <w:rPr>
      <w:sz w:val="22"/>
      <w:szCs w:val="22"/>
    </w:rPr>
  </w:style>
  <w:style w:type="paragraph" w:customStyle="1" w:styleId="IN">
    <w:name w:val="*IN*"/>
    <w:link w:val="INChar"/>
    <w:qFormat/>
    <w:rsid w:val="00984584"/>
    <w:pPr>
      <w:numPr>
        <w:numId w:val="3"/>
      </w:numPr>
      <w:spacing w:before="120" w:after="60" w:line="276" w:lineRule="auto"/>
      <w:ind w:left="360"/>
    </w:pPr>
    <w:rPr>
      <w:color w:val="4F81BD" w:themeColor="accent1"/>
      <w:sz w:val="22"/>
      <w:szCs w:val="22"/>
    </w:rPr>
  </w:style>
  <w:style w:type="character" w:customStyle="1" w:styleId="ListParagraphChar">
    <w:name w:val="List Paragraph Char"/>
    <w:basedOn w:val="DefaultParagraphFont"/>
    <w:link w:val="ListParagraph"/>
    <w:uiPriority w:val="72"/>
    <w:rsid w:val="005F5D35"/>
    <w:rPr>
      <w:rFonts w:eastAsia="Times New Roman"/>
      <w:sz w:val="22"/>
    </w:rPr>
  </w:style>
  <w:style w:type="paragraph" w:customStyle="1" w:styleId="BulletedList">
    <w:name w:val="*Bulleted List"/>
    <w:link w:val="BulletedListChar"/>
    <w:qFormat/>
    <w:rsid w:val="00984584"/>
    <w:pPr>
      <w:numPr>
        <w:numId w:val="2"/>
      </w:numPr>
      <w:spacing w:before="60" w:after="60" w:line="276" w:lineRule="auto"/>
      <w:ind w:left="360"/>
    </w:pPr>
    <w:rPr>
      <w:sz w:val="22"/>
      <w:szCs w:val="22"/>
    </w:rPr>
  </w:style>
  <w:style w:type="character" w:customStyle="1" w:styleId="INChar">
    <w:name w:val="*IN* Char"/>
    <w:basedOn w:val="DefaultParagraphFont"/>
    <w:link w:val="IN"/>
    <w:rsid w:val="00984584"/>
    <w:rPr>
      <w:color w:val="4F81BD" w:themeColor="accent1"/>
      <w:sz w:val="22"/>
      <w:szCs w:val="22"/>
    </w:rPr>
  </w:style>
  <w:style w:type="paragraph" w:customStyle="1" w:styleId="NumberedList">
    <w:name w:val="*Numbered List"/>
    <w:link w:val="NumberedListChar"/>
    <w:qFormat/>
    <w:rsid w:val="00984584"/>
    <w:pPr>
      <w:numPr>
        <w:numId w:val="5"/>
      </w:numPr>
      <w:spacing w:after="60"/>
    </w:pPr>
    <w:rPr>
      <w:sz w:val="22"/>
      <w:szCs w:val="22"/>
    </w:rPr>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
    <w:rsid w:val="00984584"/>
    <w:rPr>
      <w:sz w:val="22"/>
      <w:szCs w:val="22"/>
    </w:rPr>
  </w:style>
  <w:style w:type="paragraph" w:customStyle="1" w:styleId="TableHeaders">
    <w:name w:val="*TableHeaders"/>
    <w:basedOn w:val="Normal"/>
    <w:link w:val="TableHeadersChar"/>
    <w:qFormat/>
    <w:rsid w:val="00984584"/>
    <w:pPr>
      <w:spacing w:before="40" w:after="40" w:line="240" w:lineRule="auto"/>
    </w:pPr>
    <w:rPr>
      <w:b/>
      <w:color w:val="FFFFFF" w:themeColor="background1"/>
    </w:rPr>
  </w:style>
  <w:style w:type="character" w:customStyle="1" w:styleId="NumberedListChar">
    <w:name w:val="*Numbered List Char"/>
    <w:basedOn w:val="BulletedListChar"/>
    <w:link w:val="NumberedList"/>
    <w:rsid w:val="00984584"/>
    <w:rPr>
      <w:sz w:val="22"/>
      <w:szCs w:val="22"/>
    </w:rPr>
  </w:style>
  <w:style w:type="paragraph" w:customStyle="1" w:styleId="PageHeader">
    <w:name w:val="*PageHeader"/>
    <w:link w:val="PageHeaderChar"/>
    <w:qFormat/>
    <w:rsid w:val="00984584"/>
    <w:pPr>
      <w:spacing w:before="120"/>
    </w:pPr>
    <w:rPr>
      <w:rFonts w:cs="Calibri"/>
      <w:b/>
      <w:sz w:val="18"/>
      <w:szCs w:val="22"/>
    </w:rPr>
  </w:style>
  <w:style w:type="character" w:customStyle="1" w:styleId="TableHeadersChar">
    <w:name w:val="*TableHeaders Char"/>
    <w:basedOn w:val="DefaultParagraphFont"/>
    <w:link w:val="TableHeaders"/>
    <w:rsid w:val="00984584"/>
    <w:rPr>
      <w:b/>
      <w:color w:val="FFFFFF" w:themeColor="background1"/>
      <w:sz w:val="22"/>
      <w:szCs w:val="22"/>
    </w:rPr>
  </w:style>
  <w:style w:type="paragraph" w:customStyle="1" w:styleId="Q">
    <w:name w:val="*Q*"/>
    <w:link w:val="QChar"/>
    <w:qFormat/>
    <w:rsid w:val="00984584"/>
    <w:pPr>
      <w:spacing w:before="240" w:line="276" w:lineRule="auto"/>
    </w:pPr>
    <w:rPr>
      <w:rFonts w:eastAsia="Times New Roman"/>
      <w:b/>
      <w:sz w:val="22"/>
      <w:szCs w:val="22"/>
    </w:rPr>
  </w:style>
  <w:style w:type="character" w:customStyle="1" w:styleId="PageHeaderChar">
    <w:name w:val="*PageHeader Char"/>
    <w:basedOn w:val="BodyTextChar"/>
    <w:link w:val="PageHeader"/>
    <w:rsid w:val="00984584"/>
    <w:rPr>
      <w:rFonts w:cs="Calibri"/>
      <w:b/>
      <w:sz w:val="18"/>
      <w:szCs w:val="22"/>
    </w:rPr>
  </w:style>
  <w:style w:type="character" w:customStyle="1" w:styleId="QChar">
    <w:name w:val="*Q* Char"/>
    <w:basedOn w:val="ListParagraphChar"/>
    <w:link w:val="Q"/>
    <w:rsid w:val="00984584"/>
    <w:rPr>
      <w:rFonts w:eastAsia="Times New Roman"/>
      <w:b/>
      <w:sz w:val="22"/>
      <w:szCs w:val="22"/>
    </w:rPr>
  </w:style>
  <w:style w:type="paragraph" w:customStyle="1" w:styleId="SASRBullet">
    <w:name w:val="*SA/SR Bullet"/>
    <w:basedOn w:val="Normal"/>
    <w:link w:val="SASRBulletChar"/>
    <w:qFormat/>
    <w:rsid w:val="00984584"/>
    <w:pPr>
      <w:numPr>
        <w:ilvl w:val="1"/>
        <w:numId w:val="7"/>
      </w:numPr>
      <w:spacing w:before="120"/>
      <w:ind w:left="1080"/>
      <w:contextualSpacing/>
    </w:pPr>
  </w:style>
  <w:style w:type="paragraph" w:customStyle="1" w:styleId="INBullet">
    <w:name w:val="*IN* Bullet"/>
    <w:link w:val="INBulletChar"/>
    <w:qFormat/>
    <w:rsid w:val="00984584"/>
    <w:pPr>
      <w:numPr>
        <w:numId w:val="4"/>
      </w:numPr>
      <w:spacing w:after="60" w:line="276" w:lineRule="auto"/>
      <w:ind w:left="720"/>
    </w:pPr>
    <w:rPr>
      <w:color w:val="4F81BD" w:themeColor="accent1"/>
      <w:sz w:val="22"/>
      <w:szCs w:val="22"/>
    </w:rPr>
  </w:style>
  <w:style w:type="character" w:customStyle="1" w:styleId="SASRBulletChar">
    <w:name w:val="*SA/SR Bullet Char"/>
    <w:basedOn w:val="DefaultParagraphFont"/>
    <w:link w:val="SASRBullet"/>
    <w:rsid w:val="00984584"/>
    <w:rPr>
      <w:sz w:val="22"/>
      <w:szCs w:val="22"/>
    </w:rPr>
  </w:style>
  <w:style w:type="character" w:customStyle="1" w:styleId="INBulletChar">
    <w:name w:val="*IN* Bullet Char"/>
    <w:basedOn w:val="BulletedListChar"/>
    <w:link w:val="INBullet"/>
    <w:rsid w:val="00984584"/>
    <w:rPr>
      <w:color w:val="4F81BD" w:themeColor="accent1"/>
      <w:sz w:val="22"/>
      <w:szCs w:val="22"/>
    </w:rPr>
  </w:style>
  <w:style w:type="character" w:customStyle="1" w:styleId="reference-text">
    <w:name w:val="reference-text"/>
    <w:rsid w:val="00BE4EBD"/>
  </w:style>
  <w:style w:type="paragraph" w:customStyle="1" w:styleId="SA">
    <w:name w:val="*SA*"/>
    <w:link w:val="SAChar"/>
    <w:qFormat/>
    <w:rsid w:val="00984584"/>
    <w:pPr>
      <w:numPr>
        <w:numId w:val="6"/>
      </w:numPr>
      <w:spacing w:before="120" w:line="276" w:lineRule="auto"/>
    </w:pPr>
    <w:rPr>
      <w:rFonts w:eastAsia="Times New Roman"/>
      <w:sz w:val="22"/>
      <w:szCs w:val="22"/>
    </w:rPr>
  </w:style>
  <w:style w:type="paragraph" w:customStyle="1" w:styleId="SR">
    <w:name w:val="*SR*"/>
    <w:link w:val="SRChar"/>
    <w:qFormat/>
    <w:rsid w:val="00984584"/>
    <w:pPr>
      <w:numPr>
        <w:numId w:val="8"/>
      </w:numPr>
      <w:spacing w:before="120" w:line="276" w:lineRule="auto"/>
      <w:ind w:left="720"/>
    </w:pPr>
    <w:rPr>
      <w:rFonts w:eastAsia="Times New Roman"/>
      <w:sz w:val="22"/>
      <w:szCs w:val="22"/>
    </w:rPr>
  </w:style>
  <w:style w:type="character" w:customStyle="1" w:styleId="SAChar">
    <w:name w:val="*SA* Char"/>
    <w:basedOn w:val="ListParagraphChar"/>
    <w:link w:val="SA"/>
    <w:rsid w:val="00984584"/>
    <w:rPr>
      <w:rFonts w:eastAsia="Times New Roman"/>
      <w:sz w:val="22"/>
      <w:szCs w:val="22"/>
    </w:rPr>
  </w:style>
  <w:style w:type="character" w:customStyle="1" w:styleId="SRChar">
    <w:name w:val="*SR* Char"/>
    <w:basedOn w:val="ListParagraphChar"/>
    <w:link w:val="SR"/>
    <w:rsid w:val="00984584"/>
    <w:rPr>
      <w:rFonts w:eastAsia="Times New Roman"/>
      <w:sz w:val="22"/>
      <w:szCs w:val="22"/>
    </w:rPr>
  </w:style>
  <w:style w:type="paragraph" w:customStyle="1" w:styleId="BR">
    <w:name w:val="*BR*"/>
    <w:link w:val="BRChar"/>
    <w:qFormat/>
    <w:rsid w:val="00984584"/>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984584"/>
    <w:pPr>
      <w:spacing w:line="200" w:lineRule="exact"/>
    </w:pPr>
    <w:rPr>
      <w:rFonts w:ascii="Verdana" w:eastAsia="Verdana" w:hAnsi="Verdana" w:cs="Calibri"/>
      <w:b/>
      <w:color w:val="595959"/>
      <w:sz w:val="14"/>
      <w:szCs w:val="22"/>
    </w:rPr>
  </w:style>
  <w:style w:type="character" w:customStyle="1" w:styleId="BRChar">
    <w:name w:val="*BR* Char"/>
    <w:basedOn w:val="DefaultParagraphFont"/>
    <w:link w:val="BR"/>
    <w:rsid w:val="00984584"/>
    <w:rPr>
      <w:sz w:val="18"/>
      <w:szCs w:val="22"/>
    </w:rPr>
  </w:style>
  <w:style w:type="character" w:customStyle="1" w:styleId="folioChar">
    <w:name w:val="folio Char"/>
    <w:basedOn w:val="DefaultParagraphFont"/>
    <w:link w:val="folio"/>
    <w:rsid w:val="00880AAD"/>
    <w:rPr>
      <w:rFonts w:ascii="Verdana" w:eastAsia="Verdana" w:hAnsi="Verdana" w:cs="Verdana"/>
      <w:color w:val="595959"/>
      <w:sz w:val="16"/>
      <w:szCs w:val="22"/>
    </w:rPr>
  </w:style>
  <w:style w:type="character" w:customStyle="1" w:styleId="FooterTextChar">
    <w:name w:val="FooterText Char"/>
    <w:basedOn w:val="folioChar"/>
    <w:link w:val="FooterText"/>
    <w:rsid w:val="00984584"/>
    <w:rPr>
      <w:rFonts w:ascii="Verdana" w:eastAsia="Verdana" w:hAnsi="Verdana" w:cs="Calibri"/>
      <w:b/>
      <w:color w:val="595959"/>
      <w:sz w:val="14"/>
      <w:szCs w:val="22"/>
    </w:rPr>
  </w:style>
  <w:style w:type="paragraph" w:customStyle="1" w:styleId="TableText">
    <w:name w:val="*TableText"/>
    <w:link w:val="TableTextChar"/>
    <w:qFormat/>
    <w:rsid w:val="00984584"/>
    <w:pPr>
      <w:spacing w:before="40" w:after="40" w:line="276" w:lineRule="auto"/>
    </w:pPr>
    <w:rPr>
      <w:sz w:val="22"/>
      <w:szCs w:val="22"/>
    </w:rPr>
  </w:style>
  <w:style w:type="character" w:customStyle="1" w:styleId="TableTextChar">
    <w:name w:val="*TableText Char"/>
    <w:basedOn w:val="DefaultParagraphFont"/>
    <w:link w:val="TableText"/>
    <w:rsid w:val="00984584"/>
    <w:rPr>
      <w:sz w:val="22"/>
      <w:szCs w:val="22"/>
    </w:rPr>
  </w:style>
  <w:style w:type="paragraph" w:customStyle="1" w:styleId="ToolHeader">
    <w:name w:val="*ToolHeader"/>
    <w:qFormat/>
    <w:rsid w:val="00984584"/>
    <w:pPr>
      <w:spacing w:after="120"/>
    </w:pPr>
    <w:rPr>
      <w:rFonts w:asciiTheme="minorHAnsi" w:hAnsiTheme="minorHAnsi"/>
      <w:b/>
      <w:bCs/>
      <w:color w:val="365F91"/>
      <w:sz w:val="32"/>
      <w:szCs w:val="28"/>
    </w:rPr>
  </w:style>
  <w:style w:type="paragraph" w:customStyle="1" w:styleId="ToolTableText">
    <w:name w:val="*ToolTableText"/>
    <w:qFormat/>
    <w:rsid w:val="00984584"/>
    <w:pPr>
      <w:spacing w:before="40" w:after="120"/>
    </w:pPr>
    <w:rPr>
      <w:sz w:val="22"/>
      <w:szCs w:val="22"/>
    </w:rPr>
  </w:style>
  <w:style w:type="paragraph" w:customStyle="1" w:styleId="ExcerptTitle">
    <w:name w:val="*ExcerptTitle"/>
    <w:basedOn w:val="Normal"/>
    <w:link w:val="ExcerptTitleChar"/>
    <w:qFormat/>
    <w:rsid w:val="00984584"/>
    <w:pPr>
      <w:jc w:val="center"/>
    </w:pPr>
    <w:rPr>
      <w:rFonts w:asciiTheme="majorHAnsi" w:hAnsiTheme="majorHAnsi"/>
      <w:b/>
      <w:smallCaps/>
      <w:sz w:val="32"/>
    </w:rPr>
  </w:style>
  <w:style w:type="paragraph" w:customStyle="1" w:styleId="ExcerptAuthor">
    <w:name w:val="*ExcerptAuthor"/>
    <w:basedOn w:val="Normal"/>
    <w:link w:val="ExcerptAuthorChar"/>
    <w:qFormat/>
    <w:rsid w:val="00984584"/>
    <w:pPr>
      <w:jc w:val="center"/>
    </w:pPr>
    <w:rPr>
      <w:rFonts w:asciiTheme="majorHAnsi" w:hAnsiTheme="majorHAnsi"/>
      <w:b/>
    </w:rPr>
  </w:style>
  <w:style w:type="character" w:customStyle="1" w:styleId="ExcerptTitleChar">
    <w:name w:val="*ExcerptTitle Char"/>
    <w:basedOn w:val="DefaultParagraphFont"/>
    <w:link w:val="ExcerptTitle"/>
    <w:rsid w:val="00984584"/>
    <w:rPr>
      <w:rFonts w:asciiTheme="majorHAnsi" w:hAnsiTheme="majorHAnsi"/>
      <w:b/>
      <w:smallCaps/>
      <w:sz w:val="32"/>
      <w:szCs w:val="22"/>
    </w:rPr>
  </w:style>
  <w:style w:type="paragraph" w:customStyle="1" w:styleId="ExcerptBody">
    <w:name w:val="*ExcerptBody"/>
    <w:basedOn w:val="Normal"/>
    <w:link w:val="ExcerptBodyChar"/>
    <w:qFormat/>
    <w:rsid w:val="00984584"/>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basedOn w:val="DefaultParagraphFont"/>
    <w:link w:val="ExcerptAuthor"/>
    <w:rsid w:val="00984584"/>
    <w:rPr>
      <w:rFonts w:asciiTheme="majorHAnsi" w:hAnsiTheme="majorHAnsi"/>
      <w:b/>
      <w:sz w:val="22"/>
      <w:szCs w:val="22"/>
    </w:rPr>
  </w:style>
  <w:style w:type="character" w:customStyle="1" w:styleId="ExcerptBodyChar">
    <w:name w:val="*ExcerptBody Char"/>
    <w:basedOn w:val="DefaultParagraphFont"/>
    <w:link w:val="ExcerptBody"/>
    <w:rsid w:val="00984584"/>
    <w:rPr>
      <w:rFonts w:ascii="Times New Roman" w:eastAsia="Times New Roman" w:hAnsi="Times New Roman"/>
      <w:color w:val="000000"/>
      <w:szCs w:val="17"/>
    </w:rPr>
  </w:style>
  <w:style w:type="paragraph" w:customStyle="1" w:styleId="SubStandard">
    <w:name w:val="*SubStandard"/>
    <w:basedOn w:val="TableText"/>
    <w:link w:val="SubStandardChar"/>
    <w:qFormat/>
    <w:rsid w:val="00984584"/>
    <w:pPr>
      <w:numPr>
        <w:numId w:val="9"/>
      </w:numPr>
    </w:pPr>
  </w:style>
  <w:style w:type="character" w:customStyle="1" w:styleId="SubStandardChar">
    <w:name w:val="*SubStandard Char"/>
    <w:basedOn w:val="TableTextChar"/>
    <w:link w:val="SubStandard"/>
    <w:rsid w:val="00984584"/>
    <w:rPr>
      <w:sz w:val="22"/>
      <w:szCs w:val="22"/>
    </w:rPr>
  </w:style>
  <w:style w:type="paragraph" w:styleId="Revision">
    <w:name w:val="Revision"/>
    <w:hidden/>
    <w:uiPriority w:val="71"/>
    <w:rsid w:val="0054707C"/>
    <w:rPr>
      <w:sz w:val="22"/>
      <w:szCs w:val="22"/>
    </w:rPr>
  </w:style>
</w:styles>
</file>

<file path=word/webSettings.xml><?xml version="1.0" encoding="utf-8"?>
<w:webSettings xmlns:r="http://schemas.openxmlformats.org/officeDocument/2006/relationships" xmlns:w="http://schemas.openxmlformats.org/wordprocessingml/2006/main">
  <w:divs>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910576851">
      <w:bodyDiv w:val="1"/>
      <w:marLeft w:val="0"/>
      <w:marRight w:val="0"/>
      <w:marTop w:val="0"/>
      <w:marBottom w:val="0"/>
      <w:divBdr>
        <w:top w:val="none" w:sz="0" w:space="0" w:color="auto"/>
        <w:left w:val="none" w:sz="0" w:space="0" w:color="auto"/>
        <w:bottom w:val="none" w:sz="0" w:space="0" w:color="auto"/>
        <w:right w:val="none" w:sz="0" w:space="0" w:color="auto"/>
      </w:divBdr>
    </w:div>
    <w:div w:id="1011496154">
      <w:bodyDiv w:val="1"/>
      <w:marLeft w:val="0"/>
      <w:marRight w:val="0"/>
      <w:marTop w:val="0"/>
      <w:marBottom w:val="0"/>
      <w:divBdr>
        <w:top w:val="none" w:sz="0" w:space="0" w:color="auto"/>
        <w:left w:val="none" w:sz="0" w:space="0" w:color="auto"/>
        <w:bottom w:val="none" w:sz="0" w:space="0" w:color="auto"/>
        <w:right w:val="none" w:sz="0" w:space="0" w:color="auto"/>
      </w:divBdr>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43299499">
      <w:bodyDiv w:val="1"/>
      <w:marLeft w:val="0"/>
      <w:marRight w:val="0"/>
      <w:marTop w:val="0"/>
      <w:marBottom w:val="0"/>
      <w:divBdr>
        <w:top w:val="none" w:sz="0" w:space="0" w:color="auto"/>
        <w:left w:val="none" w:sz="0" w:space="0" w:color="auto"/>
        <w:bottom w:val="none" w:sz="0" w:space="0" w:color="auto"/>
        <w:right w:val="none" w:sz="0" w:space="0" w:color="auto"/>
      </w:divBdr>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 w:id="20339183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3D879-2E94-43BA-86CD-6F9953C8FD6D}">
  <ds:schemaRefs>
    <ds:schemaRef ds:uri="http://schemas.openxmlformats.org/officeDocument/2006/bibliography"/>
  </ds:schemaRefs>
</ds:datastoreItem>
</file>

<file path=customXml/itemProps2.xml><?xml version="1.0" encoding="utf-8"?>
<ds:datastoreItem xmlns:ds="http://schemas.openxmlformats.org/officeDocument/2006/customXml" ds:itemID="{FF26D6B0-CEB9-4404-9D3E-D7330807F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4395</Words>
  <Characters>25055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29392</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Peter Seidman</cp:lastModifiedBy>
  <cp:revision>2</cp:revision>
  <dcterms:created xsi:type="dcterms:W3CDTF">2014-04-17T23:17:00Z</dcterms:created>
  <dcterms:modified xsi:type="dcterms:W3CDTF">2014-04-17T23:17:00Z</dcterms:modified>
</cp:coreProperties>
</file>