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75"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4"/>
        <w:gridCol w:w="7491"/>
      </w:tblGrid>
      <w:tr w:rsidR="00B86216" w:rsidRPr="00EB4001">
        <w:trPr>
          <w:trHeight w:val="1008"/>
        </w:trPr>
        <w:tc>
          <w:tcPr>
            <w:tcW w:w="1984" w:type="dxa"/>
            <w:tcBorders>
              <w:top w:val="nil"/>
              <w:bottom w:val="single" w:sz="18" w:space="0" w:color="FFFFFF" w:themeColor="background1"/>
            </w:tcBorders>
            <w:shd w:val="clear" w:color="1F497D" w:themeColor="text2" w:fill="403152" w:themeFill="accent4" w:themeFillShade="80"/>
            <w:vAlign w:val="center"/>
          </w:tcPr>
          <w:p w:rsidR="00B86216" w:rsidRPr="00EB4001" w:rsidRDefault="00B86216" w:rsidP="003E379E">
            <w:pPr>
              <w:pStyle w:val="Header-banner"/>
              <w:rPr>
                <w:rFonts w:asciiTheme="minorHAnsi" w:hAnsiTheme="minorHAnsi"/>
              </w:rPr>
            </w:pPr>
            <w:bookmarkStart w:id="0" w:name="_Toc356982305"/>
            <w:r>
              <w:rPr>
                <w:rFonts w:asciiTheme="minorHAnsi" w:hAnsiTheme="minorHAnsi"/>
              </w:rPr>
              <w:t>10.1.</w:t>
            </w:r>
            <w:r w:rsidR="003E379E">
              <w:rPr>
                <w:rFonts w:asciiTheme="minorHAnsi" w:hAnsiTheme="minorHAnsi"/>
              </w:rPr>
              <w:t>3</w:t>
            </w:r>
          </w:p>
        </w:tc>
        <w:tc>
          <w:tcPr>
            <w:tcW w:w="7491" w:type="dxa"/>
            <w:tcBorders>
              <w:top w:val="nil"/>
              <w:bottom w:val="single" w:sz="18" w:space="0" w:color="FFFFFF" w:themeColor="background1"/>
            </w:tcBorders>
            <w:shd w:val="clear" w:color="1F497D" w:themeColor="text2" w:fill="5F497A" w:themeFill="accent4" w:themeFillShade="BF"/>
            <w:vAlign w:val="center"/>
          </w:tcPr>
          <w:p w:rsidR="00B86216" w:rsidRPr="00EB4001" w:rsidRDefault="00B86216" w:rsidP="00236AFC">
            <w:pPr>
              <w:pStyle w:val="Header2banner"/>
              <w:rPr>
                <w:rFonts w:asciiTheme="minorHAnsi" w:hAnsiTheme="minorHAnsi"/>
              </w:rPr>
            </w:pPr>
            <w:r>
              <w:rPr>
                <w:rFonts w:asciiTheme="minorHAnsi" w:hAnsiTheme="minorHAnsi"/>
              </w:rPr>
              <w:t>Unit</w:t>
            </w:r>
            <w:r w:rsidRPr="00EB4001">
              <w:rPr>
                <w:rFonts w:asciiTheme="minorHAnsi" w:hAnsiTheme="minorHAnsi"/>
              </w:rPr>
              <w:t xml:space="preserve"> Overview</w:t>
            </w:r>
          </w:p>
        </w:tc>
      </w:tr>
      <w:tr w:rsidR="00B86216" w:rsidRPr="0015343B">
        <w:trPr>
          <w:trHeight w:val="720"/>
        </w:trPr>
        <w:tc>
          <w:tcPr>
            <w:tcW w:w="9475" w:type="dxa"/>
            <w:gridSpan w:val="2"/>
            <w:tcBorders>
              <w:bottom w:val="single" w:sz="8" w:space="0" w:color="403152" w:themeColor="accent4" w:themeShade="80"/>
            </w:tcBorders>
            <w:shd w:val="solid" w:color="F2F2F2" w:themeColor="background1" w:themeShade="F2" w:fill="auto"/>
            <w:vAlign w:val="center"/>
          </w:tcPr>
          <w:p w:rsidR="00B86216" w:rsidRPr="00826181" w:rsidRDefault="00B86216" w:rsidP="00236AFC">
            <w:pPr>
              <w:pStyle w:val="Heading1nospace"/>
              <w:rPr>
                <w:rFonts w:asciiTheme="minorHAnsi" w:hAnsiTheme="minorHAnsi"/>
                <w:color w:val="auto"/>
              </w:rPr>
            </w:pPr>
            <w:r w:rsidRPr="00B86216">
              <w:rPr>
                <w:rFonts w:ascii="Calibri" w:hAnsi="Calibri"/>
                <w:color w:val="auto"/>
              </w:rPr>
              <w:t>“</w:t>
            </w:r>
            <w:r w:rsidR="003E379E" w:rsidRPr="003E379E">
              <w:rPr>
                <w:rFonts w:ascii="Calibri" w:hAnsi="Calibri"/>
                <w:color w:val="auto"/>
              </w:rPr>
              <w:t>I won’t let her change me, I promised myself. I won’t be what I’m not</w:t>
            </w:r>
            <w:r w:rsidRPr="00B86216">
              <w:rPr>
                <w:rFonts w:ascii="Calibri" w:hAnsi="Calibri"/>
                <w:color w:val="auto"/>
              </w:rPr>
              <w:t>.”</w:t>
            </w:r>
          </w:p>
        </w:tc>
      </w:tr>
      <w:tr w:rsidR="00B86216" w:rsidRPr="003F77B8">
        <w:trPr>
          <w:trHeight w:val="576"/>
        </w:trPr>
        <w:tc>
          <w:tcPr>
            <w:tcW w:w="1984" w:type="dxa"/>
            <w:tcBorders>
              <w:top w:val="single" w:sz="8" w:space="0" w:color="403152" w:themeColor="accent4" w:themeShade="80"/>
              <w:bottom w:val="single" w:sz="8" w:space="0" w:color="403152" w:themeColor="accent4" w:themeShade="80"/>
            </w:tcBorders>
            <w:shd w:val="solid" w:color="F2F2F2" w:themeColor="background1" w:themeShade="F2" w:fill="auto"/>
          </w:tcPr>
          <w:p w:rsidR="00B86216" w:rsidRPr="009C7B69" w:rsidRDefault="00B86216" w:rsidP="00E8449F">
            <w:pPr>
              <w:rPr>
                <w:b/>
                <w:color w:val="244061" w:themeColor="accent1" w:themeShade="80"/>
              </w:rPr>
            </w:pPr>
            <w:r w:rsidRPr="009C7B69">
              <w:rPr>
                <w:b/>
                <w:color w:val="244061" w:themeColor="accent1" w:themeShade="80"/>
              </w:rPr>
              <w:t>Texts</w:t>
            </w:r>
          </w:p>
        </w:tc>
        <w:tc>
          <w:tcPr>
            <w:tcW w:w="7491" w:type="dxa"/>
            <w:tcBorders>
              <w:top w:val="single" w:sz="8" w:space="0" w:color="403152" w:themeColor="accent4" w:themeShade="80"/>
              <w:bottom w:val="single" w:sz="8" w:space="0" w:color="403152" w:themeColor="accent4" w:themeShade="80"/>
            </w:tcBorders>
            <w:shd w:val="solid" w:color="F2F2F2" w:themeColor="background1" w:themeShade="F2" w:fill="auto"/>
          </w:tcPr>
          <w:p w:rsidR="00E8449F" w:rsidRPr="002766BF" w:rsidRDefault="00B86216" w:rsidP="003E379E">
            <w:r w:rsidRPr="00EB4001">
              <w:rPr>
                <w:b/>
              </w:rPr>
              <w:t xml:space="preserve">Unit </w:t>
            </w:r>
            <w:r w:rsidR="003E379E">
              <w:rPr>
                <w:b/>
              </w:rPr>
              <w:t>3</w:t>
            </w:r>
            <w:r w:rsidRPr="00EB4001">
              <w:rPr>
                <w:b/>
              </w:rPr>
              <w:t>:</w:t>
            </w:r>
            <w:r w:rsidRPr="00EB4001">
              <w:t xml:space="preserve"> </w:t>
            </w:r>
            <w:r w:rsidR="003E379E" w:rsidRPr="003E379E">
              <w:t xml:space="preserve">“Rules of the Game” and “Two Kinds” from </w:t>
            </w:r>
            <w:r w:rsidR="00314566" w:rsidRPr="00314566">
              <w:rPr>
                <w:i/>
              </w:rPr>
              <w:t>The Joy Luck Club</w:t>
            </w:r>
            <w:r w:rsidR="003E379E" w:rsidRPr="003E379E">
              <w:t xml:space="preserve"> by Amy</w:t>
            </w:r>
            <w:r w:rsidR="003E379E">
              <w:t xml:space="preserve"> Tan;</w:t>
            </w:r>
            <w:r w:rsidR="003E379E" w:rsidRPr="003E379E">
              <w:t xml:space="preserve"> “Dreaming of Heroes” (excerpt) from </w:t>
            </w:r>
            <w:r w:rsidR="00314566" w:rsidRPr="00314566">
              <w:rPr>
                <w:i/>
              </w:rPr>
              <w:t>Friday Night Lights</w:t>
            </w:r>
            <w:r w:rsidR="003E379E" w:rsidRPr="003E379E">
              <w:t xml:space="preserve"> by H.</w:t>
            </w:r>
            <w:r w:rsidR="00A77BBB">
              <w:t xml:space="preserve"> </w:t>
            </w:r>
            <w:r w:rsidR="003E379E" w:rsidRPr="003E379E">
              <w:t>G. Bissinge</w:t>
            </w:r>
            <w:r w:rsidR="00CA6509">
              <w:t>r</w:t>
            </w:r>
          </w:p>
        </w:tc>
      </w:tr>
      <w:tr w:rsidR="00E8449F" w:rsidRPr="003F77B8">
        <w:trPr>
          <w:trHeight w:val="576"/>
        </w:trPr>
        <w:tc>
          <w:tcPr>
            <w:tcW w:w="1984" w:type="dxa"/>
            <w:tcBorders>
              <w:top w:val="single" w:sz="8" w:space="0" w:color="403152" w:themeColor="accent4" w:themeShade="80"/>
            </w:tcBorders>
            <w:shd w:val="solid" w:color="F2F2F2" w:themeColor="background1" w:themeShade="F2" w:fill="auto"/>
            <w:vAlign w:val="center"/>
          </w:tcPr>
          <w:p w:rsidR="00E8449F" w:rsidRPr="009C7B69" w:rsidRDefault="00E8449F" w:rsidP="007F5F49">
            <w:pPr>
              <w:rPr>
                <w:b/>
                <w:color w:val="244061" w:themeColor="accent1" w:themeShade="80"/>
              </w:rPr>
            </w:pPr>
            <w:r w:rsidRPr="009C7B69">
              <w:rPr>
                <w:b/>
                <w:color w:val="244061" w:themeColor="accent1" w:themeShade="80"/>
              </w:rPr>
              <w:t>Number of Lessons in Unit</w:t>
            </w:r>
          </w:p>
        </w:tc>
        <w:tc>
          <w:tcPr>
            <w:tcW w:w="7491" w:type="dxa"/>
            <w:tcBorders>
              <w:top w:val="single" w:sz="8" w:space="0" w:color="403152" w:themeColor="accent4" w:themeShade="80"/>
            </w:tcBorders>
            <w:shd w:val="solid" w:color="F2F2F2" w:themeColor="background1" w:themeShade="F2" w:fill="auto"/>
            <w:vAlign w:val="center"/>
          </w:tcPr>
          <w:p w:rsidR="00E8449F" w:rsidRDefault="003E379E" w:rsidP="007F5F49">
            <w:r>
              <w:t>14</w:t>
            </w:r>
          </w:p>
        </w:tc>
      </w:tr>
    </w:tbl>
    <w:bookmarkEnd w:id="0"/>
    <w:p w:rsidR="001F53B2" w:rsidRDefault="00B15AEC">
      <w:pPr>
        <w:pStyle w:val="Heading1"/>
      </w:pPr>
      <w:r>
        <w:t>Introduction</w:t>
      </w:r>
    </w:p>
    <w:p w:rsidR="003E379E" w:rsidRDefault="003E379E" w:rsidP="003E379E">
      <w:r>
        <w:t>In the third unit of Module 10.1, students develop and</w:t>
      </w:r>
      <w:r w:rsidR="00AB13F6">
        <w:t xml:space="preserve"> continue to</w:t>
      </w:r>
      <w:r>
        <w:t xml:space="preserve"> solidify the skills and practices of close reading, vocabulary acquisition, participati</w:t>
      </w:r>
      <w:r w:rsidR="00FD48AA">
        <w:t>on</w:t>
      </w:r>
      <w:r>
        <w:t xml:space="preserve"> in diverse discussions, and evidence collection and organization</w:t>
      </w:r>
      <w:r w:rsidR="00FD48AA">
        <w:t>,</w:t>
      </w:r>
      <w:r>
        <w:t xml:space="preserve"> </w:t>
      </w:r>
      <w:r w:rsidR="00BA54BF">
        <w:t xml:space="preserve">all of </w:t>
      </w:r>
      <w:r w:rsidR="00FD48AA">
        <w:t xml:space="preserve">which </w:t>
      </w:r>
      <w:r>
        <w:t xml:space="preserve">they have been building throughout this module. Students continue to engage with the development of central ideas and characters in their analysis of Amy Tan’s </w:t>
      </w:r>
      <w:r w:rsidRPr="003E379E">
        <w:rPr>
          <w:i/>
        </w:rPr>
        <w:t>The Joy Luck Club</w:t>
      </w:r>
      <w:r>
        <w:t xml:space="preserve"> and expand their understanding of informational standards as they work through the complex questions raised by H.</w:t>
      </w:r>
      <w:r w:rsidR="00E00253">
        <w:t xml:space="preserve"> </w:t>
      </w:r>
      <w:r>
        <w:t>G. Bissinger’s literary non-fiction text</w:t>
      </w:r>
      <w:r w:rsidR="00FD48AA">
        <w:t>,</w:t>
      </w:r>
      <w:r>
        <w:t xml:space="preserve"> </w:t>
      </w:r>
      <w:r w:rsidRPr="003E379E">
        <w:rPr>
          <w:i/>
        </w:rPr>
        <w:t>Friday Night Lights</w:t>
      </w:r>
      <w:r>
        <w:t>.</w:t>
      </w:r>
    </w:p>
    <w:p w:rsidR="003E379E" w:rsidRDefault="003E379E" w:rsidP="003E379E">
      <w:r>
        <w:t xml:space="preserve">In their work with Tan’s “Two Kinds” and “Rules of the Game,” students analyze how </w:t>
      </w:r>
      <w:r w:rsidR="00E01BDD">
        <w:t xml:space="preserve">Tan </w:t>
      </w:r>
      <w:r>
        <w:t>develop</w:t>
      </w:r>
      <w:r w:rsidR="00E01BDD">
        <w:t>s</w:t>
      </w:r>
      <w:r>
        <w:t xml:space="preserve"> central ideas through the interactions between complex characters. </w:t>
      </w:r>
      <w:r w:rsidR="00BA54BF">
        <w:t>I</w:t>
      </w:r>
      <w:r>
        <w:t xml:space="preserve">n their exploration of Bissinger’s “Dreaming of Heroes,” </w:t>
      </w:r>
      <w:r w:rsidR="00BA54BF">
        <w:t>students continue their analysis of how authors shape and refine central ideas</w:t>
      </w:r>
      <w:r w:rsidR="00E01BDD">
        <w:t>.</w:t>
      </w:r>
      <w:r w:rsidR="00BA54BF">
        <w:t xml:space="preserve"> </w:t>
      </w:r>
      <w:r w:rsidR="00E01BDD">
        <w:t>S</w:t>
      </w:r>
      <w:r w:rsidR="00BA54BF">
        <w:t xml:space="preserve">pecifically, students </w:t>
      </w:r>
      <w:r>
        <w:t>forg</w:t>
      </w:r>
      <w:r w:rsidR="00BA54BF">
        <w:t>e</w:t>
      </w:r>
      <w:r>
        <w:t xml:space="preserve"> thematic connections </w:t>
      </w:r>
      <w:r w:rsidR="00BA54BF">
        <w:t xml:space="preserve">between Bissinger and </w:t>
      </w:r>
      <w:r>
        <w:t>the central ideas of Tan’s fiction, such as parental and communal expectations, identity formation</w:t>
      </w:r>
      <w:r w:rsidR="00FD48AA">
        <w:t>,</w:t>
      </w:r>
      <w:r>
        <w:t xml:space="preserve"> and performance. Student analysis of Bissinger’s text </w:t>
      </w:r>
      <w:r w:rsidR="00FD48AA">
        <w:t>is</w:t>
      </w:r>
      <w:r>
        <w:t xml:space="preserve"> enriched by a structured engagement with the critical questions surrounding authorship and point of view</w:t>
      </w:r>
      <w:r w:rsidR="00FD48AA">
        <w:t>,</w:t>
      </w:r>
      <w:r>
        <w:t xml:space="preserve"> raised by the complex genre of literary non</w:t>
      </w:r>
      <w:r w:rsidR="00FD48AA">
        <w:t>-</w:t>
      </w:r>
      <w:r>
        <w:t xml:space="preserve">fiction. </w:t>
      </w:r>
    </w:p>
    <w:p w:rsidR="003E379E" w:rsidRDefault="0026500D" w:rsidP="003E379E">
      <w:r>
        <w:t xml:space="preserve">At the Mid-Unit Assessment, students prepare and present an analysis of how Amy Tan shapes and refines a central idea in the chapter “Two Kinds.” </w:t>
      </w:r>
      <w:r w:rsidR="003E379E">
        <w:t xml:space="preserve">Students </w:t>
      </w:r>
      <w:r w:rsidR="00E05811">
        <w:t>are</w:t>
      </w:r>
      <w:r w:rsidR="003E379E">
        <w:t xml:space="preserve"> formally assessed on the clarity and logic of their analysis and practice collaborative discussion skills in their preparation for their presentations. This assessment includes an accompanying written response, in which students demonstrate their mastery of writing skills and practices that they have been working with throughout the unit, such as producing audience</w:t>
      </w:r>
      <w:r w:rsidR="00DB044F">
        <w:t>-</w:t>
      </w:r>
      <w:r w:rsidR="003E379E">
        <w:t xml:space="preserve"> and task</w:t>
      </w:r>
      <w:r w:rsidR="00DB044F">
        <w:t>-</w:t>
      </w:r>
      <w:r w:rsidR="003E379E">
        <w:t>specific work, as well as effective</w:t>
      </w:r>
      <w:r w:rsidR="00DB044F">
        <w:t>ly</w:t>
      </w:r>
      <w:r w:rsidR="003E379E">
        <w:t xml:space="preserve"> selecti</w:t>
      </w:r>
      <w:r w:rsidR="00DB044F">
        <w:t>ng</w:t>
      </w:r>
      <w:r w:rsidR="003E379E">
        <w:t xml:space="preserve"> and organiz</w:t>
      </w:r>
      <w:r w:rsidR="00DB044F">
        <w:t>ing</w:t>
      </w:r>
      <w:r w:rsidR="003E379E">
        <w:t xml:space="preserve"> well-chosen, relevant, and sufficient textual details. </w:t>
      </w:r>
    </w:p>
    <w:p w:rsidR="00AB13F6" w:rsidRDefault="003E379E" w:rsidP="003E379E">
      <w:pPr>
        <w:rPr>
          <w:rFonts w:ascii="Tahoma" w:hAnsi="Tahoma" w:cs="Tahoma"/>
          <w:sz w:val="20"/>
          <w:szCs w:val="20"/>
        </w:rPr>
      </w:pPr>
      <w:r>
        <w:lastRenderedPageBreak/>
        <w:t xml:space="preserve">At the </w:t>
      </w:r>
      <w:r w:rsidR="00F965EC">
        <w:t>E</w:t>
      </w:r>
      <w:r>
        <w:t>nd</w:t>
      </w:r>
      <w:r w:rsidR="00F965EC">
        <w:t>-</w:t>
      </w:r>
      <w:r>
        <w:t>of</w:t>
      </w:r>
      <w:r w:rsidR="00F965EC">
        <w:t>-U</w:t>
      </w:r>
      <w:r>
        <w:t>nit</w:t>
      </w:r>
      <w:r w:rsidR="00F965EC">
        <w:t xml:space="preserve"> Assessment</w:t>
      </w:r>
      <w:r>
        <w:t xml:space="preserve">, students </w:t>
      </w:r>
      <w:r w:rsidR="00F965EC">
        <w:t>are</w:t>
      </w:r>
      <w:r>
        <w:t xml:space="preserve"> formally assessed on their cumulative understanding of Amy Tan’s </w:t>
      </w:r>
      <w:r w:rsidR="00314566" w:rsidRPr="00314566">
        <w:rPr>
          <w:i/>
        </w:rPr>
        <w:t>The Joy Luck Club</w:t>
      </w:r>
      <w:r>
        <w:t xml:space="preserve"> and H.</w:t>
      </w:r>
      <w:r w:rsidR="00E017EA">
        <w:t xml:space="preserve"> </w:t>
      </w:r>
      <w:r>
        <w:t xml:space="preserve">G. Bissinger’s </w:t>
      </w:r>
      <w:r w:rsidRPr="003E379E">
        <w:rPr>
          <w:i/>
        </w:rPr>
        <w:t>Friday Night Lights</w:t>
      </w:r>
      <w:r>
        <w:t xml:space="preserve">. Students </w:t>
      </w:r>
      <w:r w:rsidR="00F965EC">
        <w:t>are</w:t>
      </w:r>
      <w:r>
        <w:t xml:space="preserve"> evaluated on their ability to identify and analyze the development of a central idea common to both Tan’s literary text and Bissinger’s informational text. Students incorporate the writing skills and practices they have been building throughout this unit, as they draw evidence from both literary and informational texts to support their analysis and convey their ideas clearly and accurately through the effective selection, organization, and analysis of content.</w:t>
      </w:r>
    </w:p>
    <w:p w:rsidR="00A70113" w:rsidRDefault="00314566" w:rsidP="006B406A">
      <w:r w:rsidRPr="00A70113">
        <w:t xml:space="preserve">The excerpt </w:t>
      </w:r>
      <w:r w:rsidR="00A70113">
        <w:t xml:space="preserve">from </w:t>
      </w:r>
      <w:r w:rsidR="00A70113">
        <w:rPr>
          <w:i/>
        </w:rPr>
        <w:t>Friday Night Lights</w:t>
      </w:r>
      <w:r w:rsidR="00A70113">
        <w:t xml:space="preserve"> </w:t>
      </w:r>
      <w:r w:rsidRPr="00A70113">
        <w:t>contains instances of people using emotionally charged language and/or language outside of some students' particular cultural experience</w:t>
      </w:r>
      <w:r w:rsidR="002E5C26" w:rsidRPr="00A70113">
        <w:t>s</w:t>
      </w:r>
      <w:r w:rsidRPr="00A70113">
        <w:t xml:space="preserve"> to describe other people and the cultural groups they represent. The curriculum includes this excerpt because this is a work of literary non-fiction describing real emotions, real people, and real events. While the curriculum tries to limit inappropriate language in general, in this context the use of language contributes to the development of the people, situations, and themes in this text.</w:t>
      </w:r>
    </w:p>
    <w:p w:rsidR="00A70113" w:rsidRDefault="00314566" w:rsidP="006B406A">
      <w:r w:rsidRPr="00A70113">
        <w:t xml:space="preserve">Authentic texts such as </w:t>
      </w:r>
      <w:r w:rsidRPr="00A70113">
        <w:rPr>
          <w:i/>
        </w:rPr>
        <w:t>Friday Night Lights</w:t>
      </w:r>
      <w:r w:rsidRPr="00A70113">
        <w:t xml:space="preserve"> will likely prompt authentic responses—perhaps even strong disagreement—among students; some students may find it difficult to read or discuss content that contains this type of language. It is important </w:t>
      </w:r>
      <w:r w:rsidR="00256815" w:rsidRPr="00A70113">
        <w:t xml:space="preserve">not </w:t>
      </w:r>
      <w:r w:rsidRPr="00A70113">
        <w:t>to ignore such concerns. Discuss the reasons for students’ concerns and determine whether it is appropriate to proceed. Remind students that this text depicts real thoughts, speech, and events</w:t>
      </w:r>
      <w:r w:rsidR="002E5C26" w:rsidRPr="00A70113">
        <w:t>.</w:t>
      </w:r>
    </w:p>
    <w:p w:rsidR="006C2D1C" w:rsidRPr="00A70113" w:rsidRDefault="00314566" w:rsidP="006B406A">
      <w:r w:rsidRPr="00A70113">
        <w:t xml:space="preserve">The instructional notes </w:t>
      </w:r>
      <w:r w:rsidR="002E5C26" w:rsidRPr="00A70113">
        <w:t xml:space="preserve">and questions </w:t>
      </w:r>
      <w:r w:rsidRPr="00A70113">
        <w:t>embedded in the lesson require students to engage with this language.</w:t>
      </w:r>
    </w:p>
    <w:p w:rsidR="001F53B2" w:rsidRPr="003E379E" w:rsidRDefault="003E379E" w:rsidP="003E379E">
      <w:r w:rsidRPr="003E379E">
        <w:rPr>
          <w:b/>
        </w:rPr>
        <w:t>Note</w:t>
      </w:r>
      <w:r w:rsidRPr="003E379E">
        <w:t xml:space="preserve">: This unit continues Accountable Independent Reading (AIR). </w:t>
      </w:r>
      <w:r w:rsidR="006B406A">
        <w:t>See Prefatory Material for Grades 9–12 English Language Arts for more information about AIR.</w:t>
      </w:r>
    </w:p>
    <w:p w:rsidR="001F53B2" w:rsidRDefault="00B15AEC">
      <w:pPr>
        <w:pStyle w:val="Heading1"/>
      </w:pPr>
      <w:r>
        <w:t>Literacy Skills &amp; Habits</w:t>
      </w:r>
    </w:p>
    <w:p w:rsidR="003E379E" w:rsidRDefault="003E379E" w:rsidP="003E379E">
      <w:pPr>
        <w:pStyle w:val="BulletedList"/>
      </w:pPr>
      <w:r>
        <w:t>Read closely for textual details</w:t>
      </w:r>
    </w:p>
    <w:p w:rsidR="003E379E" w:rsidRDefault="003E379E" w:rsidP="003E379E">
      <w:pPr>
        <w:pStyle w:val="BulletedList"/>
      </w:pPr>
      <w:r>
        <w:t>Annotate texts to support comprehension and analysis</w:t>
      </w:r>
    </w:p>
    <w:p w:rsidR="003E379E" w:rsidRDefault="003E379E" w:rsidP="003E379E">
      <w:pPr>
        <w:pStyle w:val="BulletedList"/>
      </w:pPr>
      <w:r>
        <w:t>Employ a variety of skills to make meaning of unknown vocabulary, both literal and figurative</w:t>
      </w:r>
    </w:p>
    <w:p w:rsidR="003E379E" w:rsidRDefault="003E379E" w:rsidP="003E379E">
      <w:pPr>
        <w:pStyle w:val="BulletedList"/>
      </w:pPr>
      <w:r>
        <w:t>Engage in productive evidence-based discussions about text</w:t>
      </w:r>
    </w:p>
    <w:p w:rsidR="003E379E" w:rsidRDefault="003E379E" w:rsidP="003E379E">
      <w:pPr>
        <w:pStyle w:val="BulletedList"/>
      </w:pPr>
      <w:r>
        <w:t>Collect and organize evidence from texts to support analysis in writing</w:t>
      </w:r>
    </w:p>
    <w:p w:rsidR="003E379E" w:rsidRDefault="003E379E" w:rsidP="003E379E">
      <w:pPr>
        <w:pStyle w:val="BulletedList"/>
      </w:pPr>
      <w:r>
        <w:t>Present information, findings, and evidence clearly, concisely, and logically</w:t>
      </w:r>
    </w:p>
    <w:p w:rsidR="007333AA" w:rsidRPr="003530D5" w:rsidRDefault="007333AA" w:rsidP="003530D5"/>
    <w:p w:rsidR="001F53B2" w:rsidRDefault="00B15AEC">
      <w:pPr>
        <w:pStyle w:val="Heading1"/>
      </w:pPr>
      <w:r>
        <w:lastRenderedPageBreak/>
        <w:t>Standards for This Unit</w:t>
      </w:r>
    </w:p>
    <w:tbl>
      <w:tblPr>
        <w:tblW w:w="94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72"/>
        <w:gridCol w:w="8111"/>
      </w:tblGrid>
      <w:tr w:rsidR="007333AA" w:rsidRPr="00FE5F2C" w:rsidTr="00E017EA">
        <w:tc>
          <w:tcPr>
            <w:tcW w:w="9483" w:type="dxa"/>
            <w:gridSpan w:val="2"/>
            <w:shd w:val="clear" w:color="auto" w:fill="5F497A" w:themeFill="accent4" w:themeFillShade="BF"/>
          </w:tcPr>
          <w:p w:rsidR="007333AA" w:rsidRPr="00FE5F2C" w:rsidRDefault="007333AA" w:rsidP="00DE51CC">
            <w:pPr>
              <w:pStyle w:val="TableHeaders"/>
            </w:pPr>
            <w:r w:rsidRPr="00FE5F2C">
              <w:t>CCS Standards: Reading</w:t>
            </w:r>
            <w:r w:rsidR="00DE51CC">
              <w:t>—</w:t>
            </w:r>
            <w:r w:rsidRPr="00FE5F2C">
              <w:t>Literature</w:t>
            </w:r>
          </w:p>
        </w:tc>
      </w:tr>
      <w:tr w:rsidR="007333AA" w:rsidRPr="003E379E" w:rsidTr="00E017EA">
        <w:tc>
          <w:tcPr>
            <w:tcW w:w="1372" w:type="dxa"/>
            <w:shd w:val="clear" w:color="auto" w:fill="auto"/>
          </w:tcPr>
          <w:p w:rsidR="007333AA" w:rsidRPr="003E379E" w:rsidRDefault="007333AA" w:rsidP="00AC075B">
            <w:pPr>
              <w:pStyle w:val="TableText"/>
            </w:pPr>
            <w:r w:rsidRPr="00B253E2">
              <w:t>RL.9-10.1</w:t>
            </w:r>
          </w:p>
        </w:tc>
        <w:tc>
          <w:tcPr>
            <w:tcW w:w="8111" w:type="dxa"/>
            <w:shd w:val="clear" w:color="auto" w:fill="auto"/>
          </w:tcPr>
          <w:p w:rsidR="007333AA" w:rsidRPr="003E379E" w:rsidRDefault="007333AA" w:rsidP="00AC075B">
            <w:pPr>
              <w:pStyle w:val="TableText"/>
            </w:pPr>
            <w:r w:rsidRPr="003E379E">
              <w:t>Cite strong and thorough textual evidence to support analysis of what the text says explicitly as well as inferences drawn from the text.</w:t>
            </w:r>
          </w:p>
        </w:tc>
      </w:tr>
      <w:tr w:rsidR="007333AA" w:rsidRPr="00AC075B" w:rsidTr="00E017EA">
        <w:tc>
          <w:tcPr>
            <w:tcW w:w="1372" w:type="dxa"/>
            <w:shd w:val="clear" w:color="auto" w:fill="auto"/>
          </w:tcPr>
          <w:p w:rsidR="007333AA" w:rsidRPr="00AC075B" w:rsidRDefault="007333AA" w:rsidP="00AC075B">
            <w:pPr>
              <w:pStyle w:val="TableText"/>
              <w:rPr>
                <w:b/>
              </w:rPr>
            </w:pPr>
            <w:r w:rsidRPr="00AC075B">
              <w:rPr>
                <w:b/>
              </w:rPr>
              <w:t>RL.9-10.2</w:t>
            </w:r>
          </w:p>
        </w:tc>
        <w:tc>
          <w:tcPr>
            <w:tcW w:w="8111" w:type="dxa"/>
            <w:shd w:val="clear" w:color="auto" w:fill="auto"/>
          </w:tcPr>
          <w:p w:rsidR="007333AA" w:rsidRPr="00AC075B" w:rsidRDefault="007333AA" w:rsidP="00AC075B">
            <w:pPr>
              <w:pStyle w:val="TableText"/>
              <w:rPr>
                <w:b/>
              </w:rPr>
            </w:pPr>
            <w:r w:rsidRPr="00AC075B">
              <w:rPr>
                <w:b/>
              </w:rPr>
              <w:t>Determine a theme or central idea of a text and analyze in detail its development over the course of the text, including how it emerges and is shaped and refined by specific details; provide an objective summary of the text.</w:t>
            </w:r>
          </w:p>
        </w:tc>
      </w:tr>
      <w:tr w:rsidR="007333AA" w:rsidRPr="00AC075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7333AA" w:rsidRPr="00AC075B" w:rsidRDefault="007333AA" w:rsidP="00AC075B">
            <w:pPr>
              <w:pStyle w:val="TableText"/>
              <w:rPr>
                <w:b/>
              </w:rPr>
            </w:pPr>
            <w:r w:rsidRPr="00AC075B">
              <w:rPr>
                <w:b/>
              </w:rPr>
              <w:t>RL.9-10.3</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7333AA" w:rsidRPr="00AC075B" w:rsidRDefault="007333AA" w:rsidP="00AC075B">
            <w:pPr>
              <w:pStyle w:val="TableText"/>
              <w:rPr>
                <w:b/>
              </w:rPr>
            </w:pPr>
            <w:r w:rsidRPr="00AC075B">
              <w:rPr>
                <w:b/>
              </w:rPr>
              <w:t>Analyze how complex characters (e.g., those with multiple or conflicting motivations) develop over the course of a text, interact with other characters, and advance the plot or develop the theme.</w:t>
            </w:r>
          </w:p>
        </w:tc>
      </w:tr>
      <w:tr w:rsidR="007333AA" w:rsidRPr="003E379E"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7333AA" w:rsidRPr="003E379E" w:rsidRDefault="007333AA" w:rsidP="00AC075B">
            <w:pPr>
              <w:pStyle w:val="TableText"/>
            </w:pPr>
            <w:r w:rsidRPr="00B253E2">
              <w:t>RL.9-10.4</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7333AA" w:rsidRPr="003E379E" w:rsidRDefault="007333AA" w:rsidP="00AC075B">
            <w:pPr>
              <w:pStyle w:val="TableText"/>
            </w:pPr>
            <w:r w:rsidRPr="003E379E">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3E379E" w:rsidRPr="007F5F49" w:rsidTr="00E017EA">
        <w:tc>
          <w:tcPr>
            <w:tcW w:w="9483" w:type="dxa"/>
            <w:gridSpan w:val="2"/>
            <w:shd w:val="clear" w:color="auto" w:fill="5F497A" w:themeFill="accent4" w:themeFillShade="BF"/>
          </w:tcPr>
          <w:p w:rsidR="003E379E" w:rsidRPr="007F5F49" w:rsidRDefault="003E379E" w:rsidP="00236AFC">
            <w:pPr>
              <w:pStyle w:val="TableHeaders"/>
              <w:keepNext/>
            </w:pPr>
            <w:r w:rsidRPr="003E379E">
              <w:t>CCS Standards: Reading—Informational</w:t>
            </w:r>
          </w:p>
        </w:tc>
      </w:tr>
      <w:tr w:rsidR="003E379E" w:rsidRPr="007F5F49"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3E379E" w:rsidRDefault="003E379E" w:rsidP="00AC075B">
            <w:pPr>
              <w:pStyle w:val="TableText"/>
            </w:pPr>
            <w:r w:rsidRPr="00B253E2">
              <w:t>RI.9-10.1</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3E379E" w:rsidRDefault="003E379E" w:rsidP="00AC075B">
            <w:pPr>
              <w:pStyle w:val="TableText"/>
            </w:pPr>
            <w:r>
              <w:t>Cite strong and thorough textual evidence to support analysis of what the text says explicitly as well as inferences drawn from the text.</w:t>
            </w:r>
          </w:p>
        </w:tc>
      </w:tr>
      <w:tr w:rsidR="003E379E" w:rsidRPr="00AC075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RI.9-10.2</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Determine a central idea of a text and analyze its development over the course of the text, including how it emerges and is shaped and refined by specific details; provide an objective summary of the text.</w:t>
            </w:r>
          </w:p>
        </w:tc>
      </w:tr>
      <w:tr w:rsidR="003E379E" w:rsidRPr="00AC075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RI.9-10.3</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Analyze how the author unfolds an analysis or series of ideas or events, including the order in which the points are made, how they are introduced and developed, and the connections that are drawn between them.</w:t>
            </w:r>
          </w:p>
        </w:tc>
      </w:tr>
      <w:tr w:rsidR="003E379E" w:rsidRPr="00AC075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RI.9-10.6</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highlight w:val="white"/>
              </w:rPr>
              <w:t>Determine an author’s point of view or purpose in a text and analyze how an author uses rhetoric to advance that point of view or purpose.</w:t>
            </w:r>
          </w:p>
        </w:tc>
      </w:tr>
    </w:tbl>
    <w:p w:rsidR="003E379E" w:rsidRDefault="003E379E"/>
    <w:tbl>
      <w:tblPr>
        <w:tblW w:w="94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72"/>
        <w:gridCol w:w="8111"/>
      </w:tblGrid>
      <w:tr w:rsidR="003E379E" w:rsidRPr="007F5F49" w:rsidTr="00E017EA">
        <w:trPr>
          <w:tblHeader/>
        </w:trPr>
        <w:tc>
          <w:tcPr>
            <w:tcW w:w="9483" w:type="dxa"/>
            <w:gridSpan w:val="2"/>
            <w:shd w:val="clear" w:color="auto" w:fill="5F497A" w:themeFill="accent4" w:themeFillShade="BF"/>
          </w:tcPr>
          <w:p w:rsidR="003E379E" w:rsidRPr="007F5F49" w:rsidRDefault="003E379E" w:rsidP="003E379E">
            <w:pPr>
              <w:pStyle w:val="TableHeaders"/>
              <w:keepNext/>
            </w:pPr>
            <w:r w:rsidRPr="003E379E">
              <w:t xml:space="preserve">CCS Standards: </w:t>
            </w:r>
            <w:r>
              <w:t xml:space="preserve">Writing </w:t>
            </w:r>
          </w:p>
        </w:tc>
      </w:tr>
      <w:tr w:rsidR="003E379E" w:rsidRPr="00AC075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W.9-10.2</w:t>
            </w:r>
            <w:r w:rsidR="000A61D2" w:rsidRPr="00AC075B">
              <w:rPr>
                <w:b/>
              </w:rPr>
              <w:t>.b, d</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AC075B" w:rsidRDefault="003E379E" w:rsidP="00AC075B">
            <w:pPr>
              <w:pStyle w:val="TableText"/>
              <w:rPr>
                <w:b/>
              </w:rPr>
            </w:pPr>
            <w:r w:rsidRPr="00AC075B">
              <w:rPr>
                <w:b/>
              </w:rPr>
              <w:t xml:space="preserve">Write informative/explanatory texts to examine and convey complex ideas, concepts, and information clearly and accurately through the effective selection, </w:t>
            </w:r>
            <w:r w:rsidR="003004A3" w:rsidRPr="00AC075B">
              <w:rPr>
                <w:b/>
              </w:rPr>
              <w:t>organization,</w:t>
            </w:r>
            <w:r w:rsidRPr="00AC075B">
              <w:rPr>
                <w:b/>
              </w:rPr>
              <w:t xml:space="preserve"> and analysis of content.</w:t>
            </w:r>
          </w:p>
          <w:p w:rsidR="000A61D2" w:rsidRPr="00AC075B" w:rsidRDefault="000A61D2" w:rsidP="00AC075B">
            <w:pPr>
              <w:pStyle w:val="Letterhangingindent"/>
              <w:rPr>
                <w:b/>
              </w:rPr>
            </w:pPr>
            <w:r w:rsidRPr="00AC075B">
              <w:rPr>
                <w:b/>
              </w:rPr>
              <w:t>b.</w:t>
            </w:r>
            <w:r w:rsidR="00E017EA" w:rsidRPr="00AC075B">
              <w:rPr>
                <w:b/>
              </w:rPr>
              <w:tab/>
            </w:r>
            <w:r w:rsidRPr="00AC075B">
              <w:rPr>
                <w:b/>
              </w:rPr>
              <w:t>Develop the topic with well-chosen, relevant, and sufficient facts, extended definitions, concrete details, quotations, or other information and examples appropriate to the audience’s knowledge of the topic.</w:t>
            </w:r>
          </w:p>
          <w:p w:rsidR="000A61D2" w:rsidRPr="00AC075B" w:rsidRDefault="000A61D2" w:rsidP="00AC075B">
            <w:pPr>
              <w:pStyle w:val="Letterhangingindent"/>
              <w:rPr>
                <w:b/>
              </w:rPr>
            </w:pPr>
            <w:r w:rsidRPr="00AC075B">
              <w:rPr>
                <w:b/>
              </w:rPr>
              <w:lastRenderedPageBreak/>
              <w:t>d.</w:t>
            </w:r>
            <w:r w:rsidR="00E017EA" w:rsidRPr="00AC075B">
              <w:rPr>
                <w:b/>
              </w:rPr>
              <w:tab/>
            </w:r>
            <w:r w:rsidRPr="00AC075B">
              <w:rPr>
                <w:b/>
              </w:rPr>
              <w:t>Use precise language and domain-specific vocabulary to manage the complexity of the topic.</w:t>
            </w:r>
          </w:p>
        </w:tc>
      </w:tr>
      <w:tr w:rsidR="003E379E" w:rsidRPr="005B6F3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5B6F3B" w:rsidRDefault="003E379E" w:rsidP="005B6F3B">
            <w:pPr>
              <w:pStyle w:val="TableText"/>
              <w:rPr>
                <w:b/>
              </w:rPr>
            </w:pPr>
            <w:r w:rsidRPr="005B6F3B">
              <w:rPr>
                <w:b/>
              </w:rPr>
              <w:lastRenderedPageBreak/>
              <w:t>W.9-10.4</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5B6F3B" w:rsidRDefault="003E379E" w:rsidP="005B6F3B">
            <w:pPr>
              <w:pStyle w:val="TableText"/>
              <w:rPr>
                <w:b/>
              </w:rPr>
            </w:pPr>
            <w:r w:rsidRPr="005B6F3B">
              <w:rPr>
                <w:b/>
              </w:rPr>
              <w:t>Produce clear and coherent writing in which the development, organization, and style are appropriate to task, purpose, and audience.</w:t>
            </w:r>
          </w:p>
        </w:tc>
      </w:tr>
      <w:tr w:rsidR="003E379E" w:rsidRPr="005B6F3B" w:rsidTr="00E017EA">
        <w:tc>
          <w:tcPr>
            <w:tcW w:w="1372" w:type="dxa"/>
            <w:tcBorders>
              <w:top w:val="single" w:sz="6" w:space="0" w:color="000000"/>
              <w:left w:val="single" w:sz="6" w:space="0" w:color="000000"/>
              <w:bottom w:val="single" w:sz="6" w:space="0" w:color="000000"/>
              <w:right w:val="single" w:sz="6" w:space="0" w:color="000000"/>
            </w:tcBorders>
            <w:shd w:val="clear" w:color="auto" w:fill="auto"/>
          </w:tcPr>
          <w:p w:rsidR="003E379E" w:rsidRPr="005B6F3B" w:rsidRDefault="003E379E" w:rsidP="005B6F3B">
            <w:pPr>
              <w:pStyle w:val="TableText"/>
              <w:rPr>
                <w:b/>
              </w:rPr>
            </w:pPr>
            <w:r w:rsidRPr="005B6F3B">
              <w:rPr>
                <w:b/>
              </w:rPr>
              <w:t>W.9-10.9</w:t>
            </w:r>
          </w:p>
        </w:tc>
        <w:tc>
          <w:tcPr>
            <w:tcW w:w="8111" w:type="dxa"/>
            <w:tcBorders>
              <w:top w:val="single" w:sz="6" w:space="0" w:color="000000"/>
              <w:left w:val="single" w:sz="6" w:space="0" w:color="000000"/>
              <w:bottom w:val="single" w:sz="6" w:space="0" w:color="000000"/>
              <w:right w:val="single" w:sz="6" w:space="0" w:color="000000"/>
            </w:tcBorders>
            <w:shd w:val="clear" w:color="auto" w:fill="auto"/>
          </w:tcPr>
          <w:p w:rsidR="003E379E" w:rsidRPr="005B6F3B" w:rsidRDefault="003E379E" w:rsidP="005B6F3B">
            <w:pPr>
              <w:pStyle w:val="TableText"/>
              <w:rPr>
                <w:b/>
              </w:rPr>
            </w:pPr>
            <w:r w:rsidRPr="005B6F3B">
              <w:rPr>
                <w:b/>
              </w:rPr>
              <w:t>Draw evidence from literary or informational texts to support analysis, reflection, and research.</w:t>
            </w:r>
          </w:p>
        </w:tc>
      </w:tr>
    </w:tbl>
    <w:p w:rsidR="003E379E" w:rsidRDefault="003E379E"/>
    <w:tbl>
      <w:tblPr>
        <w:tblW w:w="94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72"/>
        <w:gridCol w:w="8111"/>
      </w:tblGrid>
      <w:tr w:rsidR="007333AA" w:rsidRPr="007F5F49" w:rsidTr="00E017EA">
        <w:tc>
          <w:tcPr>
            <w:tcW w:w="9483" w:type="dxa"/>
            <w:gridSpan w:val="2"/>
            <w:shd w:val="clear" w:color="auto" w:fill="5F497A" w:themeFill="accent4" w:themeFillShade="BF"/>
          </w:tcPr>
          <w:p w:rsidR="007333AA" w:rsidRPr="007F5F49" w:rsidRDefault="007333AA" w:rsidP="003530D5">
            <w:pPr>
              <w:pStyle w:val="TableHeaders"/>
              <w:keepNext/>
            </w:pPr>
            <w:r w:rsidRPr="007F5F49">
              <w:t>CCS Standards: Speaking &amp; Listening</w:t>
            </w:r>
          </w:p>
        </w:tc>
      </w:tr>
      <w:tr w:rsidR="007333AA" w:rsidRPr="007F5F49" w:rsidTr="00E017EA">
        <w:tc>
          <w:tcPr>
            <w:tcW w:w="1372" w:type="dxa"/>
            <w:shd w:val="clear" w:color="auto" w:fill="auto"/>
          </w:tcPr>
          <w:p w:rsidR="007333AA" w:rsidRPr="003E379E" w:rsidRDefault="003E379E" w:rsidP="00236AFC">
            <w:r w:rsidRPr="00B253E2">
              <w:t>SL.9-10.1</w:t>
            </w:r>
            <w:r w:rsidR="000A61D2">
              <w:t>.a, c, e</w:t>
            </w:r>
          </w:p>
        </w:tc>
        <w:tc>
          <w:tcPr>
            <w:tcW w:w="8111" w:type="dxa"/>
            <w:shd w:val="clear" w:color="auto" w:fill="auto"/>
          </w:tcPr>
          <w:p w:rsidR="007333AA" w:rsidRDefault="003E379E" w:rsidP="005B6F3B">
            <w:pPr>
              <w:pStyle w:val="TableText"/>
            </w:pPr>
            <w:r>
              <w:t xml:space="preserve">Initiate and participate effectively in a range of collaborative discussions (one-on-one, in groups, and teacher-led) with diverse partners on grades </w:t>
            </w:r>
            <w:r w:rsidR="00314566" w:rsidRPr="00314566">
              <w:rPr>
                <w:i/>
              </w:rPr>
              <w:t>9–10 topics, texts, and issues</w:t>
            </w:r>
            <w:r>
              <w:t>, building on others’ ideas and expressing their own clearly and persuasively.</w:t>
            </w:r>
          </w:p>
          <w:p w:rsidR="000A61D2" w:rsidRPr="005B6F3B" w:rsidRDefault="000A61D2" w:rsidP="005B6F3B">
            <w:pPr>
              <w:pStyle w:val="Letterhangingindent"/>
              <w:rPr>
                <w:rStyle w:val="TableTextChar"/>
              </w:rPr>
            </w:pPr>
            <w:r>
              <w:t>a.</w:t>
            </w:r>
            <w:r w:rsidR="00E017EA">
              <w:tab/>
            </w:r>
            <w:r w:rsidRPr="005B6F3B">
              <w:rPr>
                <w:rStyle w:val="TableTextChar"/>
              </w:rPr>
              <w:t>Come to discussions prepared, having read and researched material under study; explicitly draw on that preparation by referring to evidence from texts and other research on the topic or issue to stimulate a thoughtful, well-reasoned exchange of ideas.</w:t>
            </w:r>
          </w:p>
          <w:p w:rsidR="000A61D2" w:rsidRPr="005B6F3B" w:rsidRDefault="000A61D2" w:rsidP="005B6F3B">
            <w:pPr>
              <w:pStyle w:val="Letterhangingindent"/>
              <w:rPr>
                <w:rStyle w:val="TableTextChar"/>
              </w:rPr>
            </w:pPr>
            <w:r>
              <w:t>c.</w:t>
            </w:r>
            <w:r w:rsidR="00E017EA">
              <w:tab/>
            </w:r>
            <w:r w:rsidRPr="005B6F3B">
              <w:rPr>
                <w:rStyle w:val="TableTextChar"/>
              </w:rPr>
              <w:t>Propel conversations by posing and responding to questions that relate the current discussion to broader themes or larger ideas; actively incorporate others into the discussion; and clarify, verify, or challenge ideas and conclusions.</w:t>
            </w:r>
          </w:p>
          <w:p w:rsidR="000A61D2" w:rsidRPr="000A61D2" w:rsidRDefault="00E017EA" w:rsidP="005B6F3B">
            <w:pPr>
              <w:pStyle w:val="Letterhangingindent"/>
            </w:pPr>
            <w:r w:rsidRPr="005B6F3B">
              <w:rPr>
                <w:rStyle w:val="TableTextChar"/>
              </w:rPr>
              <w:t>e.</w:t>
            </w:r>
            <w:r w:rsidRPr="005B6F3B">
              <w:rPr>
                <w:rStyle w:val="TableTextChar"/>
              </w:rPr>
              <w:tab/>
            </w:r>
            <w:r w:rsidR="000A61D2" w:rsidRPr="005B6F3B">
              <w:rPr>
                <w:rStyle w:val="TableTextChar"/>
              </w:rPr>
              <w:t>Seek to understand other perspectives and cultures and communicate effectively with audiences or individuals from varied backgrounds.</w:t>
            </w:r>
          </w:p>
        </w:tc>
      </w:tr>
      <w:tr w:rsidR="003E379E" w:rsidRPr="007F5F49" w:rsidTr="00E017EA">
        <w:tc>
          <w:tcPr>
            <w:tcW w:w="1372" w:type="dxa"/>
            <w:tcBorders>
              <w:bottom w:val="single" w:sz="6" w:space="0" w:color="000000"/>
            </w:tcBorders>
            <w:shd w:val="clear" w:color="auto" w:fill="auto"/>
          </w:tcPr>
          <w:p w:rsidR="003E379E" w:rsidRDefault="003E379E" w:rsidP="00236AFC">
            <w:r w:rsidRPr="00550C63">
              <w:rPr>
                <w:b/>
              </w:rPr>
              <w:t>SL.9-10.4</w:t>
            </w:r>
          </w:p>
        </w:tc>
        <w:tc>
          <w:tcPr>
            <w:tcW w:w="8111" w:type="dxa"/>
            <w:tcBorders>
              <w:bottom w:val="single" w:sz="6" w:space="0" w:color="000000"/>
            </w:tcBorders>
            <w:shd w:val="clear" w:color="auto" w:fill="auto"/>
          </w:tcPr>
          <w:p w:rsidR="003E379E" w:rsidRPr="005B6F3B" w:rsidRDefault="003E379E" w:rsidP="005B6F3B">
            <w:pPr>
              <w:pStyle w:val="ToolTableText"/>
              <w:rPr>
                <w:b/>
              </w:rPr>
            </w:pPr>
            <w:r w:rsidRPr="005B6F3B">
              <w:rPr>
                <w:b/>
                <w:highlight w:val="white"/>
              </w:rPr>
              <w:t>Present information, findings, and supporting evidence clearly, concisely, and logically such that listeners can follow the line of reasoning and the organization, development, substance, and style are appropriate to purpose, audience, and task.</w:t>
            </w:r>
          </w:p>
        </w:tc>
      </w:tr>
    </w:tbl>
    <w:p w:rsidR="003E379E" w:rsidRDefault="003E379E"/>
    <w:tbl>
      <w:tblPr>
        <w:tblW w:w="948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72"/>
        <w:gridCol w:w="8111"/>
      </w:tblGrid>
      <w:tr w:rsidR="007333AA" w:rsidRPr="007F5F49" w:rsidTr="005B6F3B">
        <w:trPr>
          <w:tblHeader/>
        </w:trPr>
        <w:tc>
          <w:tcPr>
            <w:tcW w:w="9483" w:type="dxa"/>
            <w:gridSpan w:val="2"/>
            <w:shd w:val="clear" w:color="auto" w:fill="5F497A" w:themeFill="accent4" w:themeFillShade="BF"/>
          </w:tcPr>
          <w:p w:rsidR="007333AA" w:rsidRPr="007F5F49" w:rsidRDefault="007333AA" w:rsidP="003E379E">
            <w:pPr>
              <w:pStyle w:val="TableHeaders"/>
              <w:keepNext/>
            </w:pPr>
            <w:r w:rsidRPr="007F5F49">
              <w:t>CCS Standards: Language</w:t>
            </w:r>
          </w:p>
        </w:tc>
      </w:tr>
      <w:tr w:rsidR="007333AA" w:rsidRPr="003E379E" w:rsidTr="00E017EA">
        <w:tc>
          <w:tcPr>
            <w:tcW w:w="1372" w:type="dxa"/>
            <w:shd w:val="clear" w:color="auto" w:fill="auto"/>
          </w:tcPr>
          <w:p w:rsidR="007333AA" w:rsidRPr="003E379E" w:rsidRDefault="003530D5" w:rsidP="00236AFC">
            <w:r w:rsidRPr="00550C63">
              <w:t>L.9-10.1</w:t>
            </w:r>
            <w:r w:rsidR="00A8627D">
              <w:t>.a</w:t>
            </w:r>
            <w:r w:rsidR="00E00253">
              <w:t>, b</w:t>
            </w:r>
          </w:p>
        </w:tc>
        <w:tc>
          <w:tcPr>
            <w:tcW w:w="8111" w:type="dxa"/>
            <w:shd w:val="clear" w:color="auto" w:fill="auto"/>
          </w:tcPr>
          <w:p w:rsidR="003530D5" w:rsidRPr="005B6F3B" w:rsidRDefault="003530D5" w:rsidP="005B6F3B">
            <w:pPr>
              <w:pStyle w:val="ToolTableText"/>
            </w:pPr>
            <w:r w:rsidRPr="005B6F3B">
              <w:t>Demonstrate command of the conventions of standard English grammar and usage when writing or speaking.</w:t>
            </w:r>
          </w:p>
          <w:p w:rsidR="00A8627D" w:rsidRPr="00AC075B" w:rsidRDefault="00A8627D" w:rsidP="005B6F3B">
            <w:pPr>
              <w:pStyle w:val="Letterhangingindent"/>
              <w:rPr>
                <w:rStyle w:val="LetterhangingindentChar"/>
              </w:rPr>
            </w:pPr>
            <w:r>
              <w:t>a.</w:t>
            </w:r>
            <w:r w:rsidR="00E017EA" w:rsidRPr="00AC075B">
              <w:rPr>
                <w:rStyle w:val="LetterhangingindentChar"/>
              </w:rPr>
              <w:tab/>
            </w:r>
            <w:r w:rsidRPr="00AC075B">
              <w:rPr>
                <w:rStyle w:val="LetterhangingindentChar"/>
                <w:highlight w:val="white"/>
              </w:rPr>
              <w:t>Use parallel structure.</w:t>
            </w:r>
          </w:p>
          <w:p w:rsidR="00A8627D" w:rsidRPr="003E379E" w:rsidRDefault="00A8627D" w:rsidP="005B6F3B">
            <w:pPr>
              <w:pStyle w:val="Letterhangingindent"/>
            </w:pPr>
            <w:r>
              <w:t>b.</w:t>
            </w:r>
            <w:r w:rsidR="00E017EA">
              <w:tab/>
            </w:r>
            <w:r w:rsidRPr="007A76D8">
              <w:t>Use various types of phrases (noun, verb, adjectival, adverbial, participial, prepositional, absolute) and clauses (independent, dependent; noun, relative, adverbial) to convey specific meanings and add variety and interest to writing or presentations.</w:t>
            </w:r>
          </w:p>
        </w:tc>
      </w:tr>
      <w:tr w:rsidR="003E379E" w:rsidRPr="003E379E" w:rsidTr="00E017EA">
        <w:tc>
          <w:tcPr>
            <w:tcW w:w="1372" w:type="dxa"/>
            <w:shd w:val="clear" w:color="auto" w:fill="auto"/>
          </w:tcPr>
          <w:p w:rsidR="003E379E" w:rsidRPr="002146D5" w:rsidRDefault="003E379E" w:rsidP="00236AFC">
            <w:r w:rsidRPr="00550C63">
              <w:rPr>
                <w:b/>
              </w:rPr>
              <w:lastRenderedPageBreak/>
              <w:t>L.9-10.2</w:t>
            </w:r>
          </w:p>
        </w:tc>
        <w:tc>
          <w:tcPr>
            <w:tcW w:w="8111" w:type="dxa"/>
            <w:shd w:val="clear" w:color="auto" w:fill="auto"/>
          </w:tcPr>
          <w:p w:rsidR="003E379E" w:rsidRPr="005B6F3B" w:rsidRDefault="003E379E" w:rsidP="005B6F3B">
            <w:pPr>
              <w:pStyle w:val="TableText"/>
              <w:rPr>
                <w:b/>
              </w:rPr>
            </w:pPr>
            <w:r w:rsidRPr="005B6F3B">
              <w:rPr>
                <w:b/>
                <w:highlight w:val="white"/>
              </w:rPr>
              <w:t>Demonstrate command of the conventions of standard English capitalization, punctuation, and spelling when writing.</w:t>
            </w:r>
          </w:p>
          <w:p w:rsidR="00A8627D" w:rsidRPr="005B6F3B" w:rsidRDefault="00A8627D" w:rsidP="005B6F3B">
            <w:pPr>
              <w:pStyle w:val="Letterhangingindent"/>
              <w:rPr>
                <w:b/>
              </w:rPr>
            </w:pPr>
            <w:r w:rsidRPr="005B6F3B">
              <w:rPr>
                <w:b/>
              </w:rPr>
              <w:t>a.</w:t>
            </w:r>
            <w:r w:rsidR="00AC075B" w:rsidRPr="005B6F3B">
              <w:rPr>
                <w:b/>
              </w:rPr>
              <w:tab/>
            </w:r>
            <w:r w:rsidRPr="005B6F3B">
              <w:rPr>
                <w:b/>
                <w:highlight w:val="white"/>
              </w:rPr>
              <w:t>Use a semicolon (and perhaps a conjunctive adverb) to link two or more closely related independent clauses.</w:t>
            </w:r>
          </w:p>
          <w:p w:rsidR="00A8627D" w:rsidRPr="00AC075B" w:rsidRDefault="00A8627D" w:rsidP="005B6F3B">
            <w:pPr>
              <w:pStyle w:val="Letterhangingindent"/>
            </w:pPr>
            <w:r w:rsidRPr="005B6F3B">
              <w:rPr>
                <w:b/>
              </w:rPr>
              <w:t>c.</w:t>
            </w:r>
            <w:r w:rsidR="00AC075B" w:rsidRPr="005B6F3B">
              <w:rPr>
                <w:b/>
              </w:rPr>
              <w:tab/>
            </w:r>
            <w:r w:rsidRPr="005B6F3B">
              <w:rPr>
                <w:b/>
              </w:rPr>
              <w:t>Spell correctly.</w:t>
            </w:r>
          </w:p>
        </w:tc>
      </w:tr>
      <w:tr w:rsidR="003E379E" w:rsidRPr="003E379E" w:rsidTr="00E017EA">
        <w:tc>
          <w:tcPr>
            <w:tcW w:w="1372" w:type="dxa"/>
            <w:shd w:val="clear" w:color="auto" w:fill="auto"/>
          </w:tcPr>
          <w:p w:rsidR="003E379E" w:rsidRPr="00550C63" w:rsidRDefault="003E379E" w:rsidP="00236AFC">
            <w:r w:rsidRPr="00550C63">
              <w:t>L.9-10.4.a</w:t>
            </w:r>
          </w:p>
        </w:tc>
        <w:tc>
          <w:tcPr>
            <w:tcW w:w="8111" w:type="dxa"/>
            <w:shd w:val="clear" w:color="auto" w:fill="auto"/>
          </w:tcPr>
          <w:p w:rsidR="00A8627D" w:rsidRDefault="00A8627D" w:rsidP="003530D5">
            <w:r w:rsidRPr="002146D5">
              <w:t xml:space="preserve">Determine or clarify the meaning of unknown and multiple-meaning words and phrases based on </w:t>
            </w:r>
            <w:r w:rsidRPr="002146D5">
              <w:rPr>
                <w:i/>
              </w:rPr>
              <w:t xml:space="preserve">grades 9–10 reading and content, </w:t>
            </w:r>
            <w:r w:rsidRPr="002146D5">
              <w:t>choosing flexibility from a range of strategies.</w:t>
            </w:r>
          </w:p>
          <w:p w:rsidR="003E379E" w:rsidRPr="00550C63" w:rsidRDefault="00A8627D" w:rsidP="00AC075B">
            <w:pPr>
              <w:pStyle w:val="Letterhangingindent"/>
            </w:pPr>
            <w:r>
              <w:t>a.</w:t>
            </w:r>
            <w:r w:rsidR="00AC075B">
              <w:tab/>
              <w:t>U</w:t>
            </w:r>
            <w:r w:rsidR="003E379E" w:rsidRPr="00550C63">
              <w:t>se context (e.g., the overall meaning of a sentence, paragraph, or text; a word’s position or function in a sentence) as a clue to the meaning of a word or phrase.</w:t>
            </w:r>
          </w:p>
        </w:tc>
      </w:tr>
      <w:tr w:rsidR="003530D5" w:rsidRPr="003E379E" w:rsidTr="00E017EA">
        <w:tc>
          <w:tcPr>
            <w:tcW w:w="1372" w:type="dxa"/>
            <w:shd w:val="clear" w:color="auto" w:fill="auto"/>
          </w:tcPr>
          <w:p w:rsidR="003530D5" w:rsidRPr="003E379E" w:rsidRDefault="003530D5" w:rsidP="00236AFC">
            <w:r w:rsidRPr="00550C63">
              <w:t>L.9-10.5</w:t>
            </w:r>
          </w:p>
        </w:tc>
        <w:tc>
          <w:tcPr>
            <w:tcW w:w="8111" w:type="dxa"/>
            <w:shd w:val="clear" w:color="auto" w:fill="auto"/>
          </w:tcPr>
          <w:p w:rsidR="003530D5" w:rsidRPr="003E379E" w:rsidRDefault="003530D5" w:rsidP="003530D5">
            <w:r w:rsidRPr="003E379E">
              <w:t>Demonstrate understanding of figurative language, word relationships, and nuances in word meanings.</w:t>
            </w:r>
          </w:p>
        </w:tc>
      </w:tr>
    </w:tbl>
    <w:p w:rsidR="007F5F49" w:rsidRDefault="007F5F49" w:rsidP="007F5F49">
      <w:r>
        <w:rPr>
          <w:b/>
        </w:rPr>
        <w:t>Note:</w:t>
      </w:r>
      <w:r>
        <w:t xml:space="preserve"> Bold text indicates targeted standards that will be assessed in the unit.</w:t>
      </w:r>
    </w:p>
    <w:p w:rsidR="001F53B2" w:rsidRDefault="00B15AEC">
      <w:pPr>
        <w:pStyle w:val="Heading1"/>
      </w:pPr>
      <w:r>
        <w:t>Unit Assessments</w:t>
      </w:r>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660"/>
      </w:tblGrid>
      <w:tr w:rsidR="009C02A7" w:rsidTr="00E017EA">
        <w:tc>
          <w:tcPr>
            <w:tcW w:w="9473" w:type="dxa"/>
            <w:gridSpan w:val="2"/>
            <w:shd w:val="clear" w:color="auto" w:fill="5F497A"/>
            <w:tcMar>
              <w:top w:w="100" w:type="dxa"/>
              <w:left w:w="108" w:type="dxa"/>
              <w:bottom w:w="100" w:type="dxa"/>
              <w:right w:w="108" w:type="dxa"/>
            </w:tcMar>
          </w:tcPr>
          <w:p w:rsidR="009C02A7" w:rsidRDefault="009C02A7" w:rsidP="00584311">
            <w:pPr>
              <w:pStyle w:val="TableHeaders"/>
              <w:keepNext/>
            </w:pPr>
            <w:r>
              <w:t>Ongoing Assessment</w:t>
            </w:r>
          </w:p>
        </w:tc>
      </w:tr>
      <w:tr w:rsidR="001F53B2" w:rsidTr="00E017EA">
        <w:tc>
          <w:tcPr>
            <w:tcW w:w="1813" w:type="dxa"/>
            <w:tcMar>
              <w:top w:w="100" w:type="dxa"/>
              <w:left w:w="108" w:type="dxa"/>
              <w:bottom w:w="100" w:type="dxa"/>
              <w:right w:w="108" w:type="dxa"/>
            </w:tcMar>
          </w:tcPr>
          <w:p w:rsidR="001F53B2" w:rsidRPr="005B6F3B" w:rsidRDefault="00B15AEC" w:rsidP="005B6F3B">
            <w:pPr>
              <w:pStyle w:val="TableText"/>
              <w:rPr>
                <w:b/>
              </w:rPr>
            </w:pPr>
            <w:r w:rsidRPr="005B6F3B">
              <w:rPr>
                <w:b/>
              </w:rPr>
              <w:t>Standards Assessed</w:t>
            </w:r>
          </w:p>
        </w:tc>
        <w:tc>
          <w:tcPr>
            <w:tcW w:w="7660" w:type="dxa"/>
            <w:tcMar>
              <w:top w:w="100" w:type="dxa"/>
              <w:left w:w="108" w:type="dxa"/>
              <w:bottom w:w="100" w:type="dxa"/>
              <w:right w:w="108" w:type="dxa"/>
            </w:tcMar>
          </w:tcPr>
          <w:p w:rsidR="001F53B2" w:rsidRDefault="003E379E" w:rsidP="005B6F3B">
            <w:pPr>
              <w:pStyle w:val="TableText"/>
            </w:pPr>
            <w:r w:rsidRPr="00645F72">
              <w:t>RL.9-10.3, RI.9-10.3, RI.9-10.6, L.9-10.2</w:t>
            </w:r>
            <w:r w:rsidR="00A8627D">
              <w:t>.a</w:t>
            </w:r>
            <w:r w:rsidRPr="00645F72">
              <w:t xml:space="preserve">, </w:t>
            </w:r>
            <w:r w:rsidRPr="00C36707">
              <w:t>c</w:t>
            </w:r>
          </w:p>
        </w:tc>
      </w:tr>
      <w:tr w:rsidR="001F53B2" w:rsidTr="00E017EA">
        <w:tc>
          <w:tcPr>
            <w:tcW w:w="1813" w:type="dxa"/>
            <w:tcMar>
              <w:top w:w="100" w:type="dxa"/>
              <w:left w:w="108" w:type="dxa"/>
              <w:bottom w:w="100" w:type="dxa"/>
              <w:right w:w="108" w:type="dxa"/>
            </w:tcMar>
          </w:tcPr>
          <w:p w:rsidR="001F53B2" w:rsidRPr="005B6F3B" w:rsidRDefault="00B15AEC" w:rsidP="005B6F3B">
            <w:pPr>
              <w:pStyle w:val="TableText"/>
              <w:rPr>
                <w:b/>
              </w:rPr>
            </w:pPr>
            <w:r w:rsidRPr="005B6F3B">
              <w:rPr>
                <w:b/>
              </w:rPr>
              <w:t>Description of Assessment</w:t>
            </w:r>
          </w:p>
        </w:tc>
        <w:tc>
          <w:tcPr>
            <w:tcW w:w="7660" w:type="dxa"/>
            <w:tcMar>
              <w:top w:w="100" w:type="dxa"/>
              <w:left w:w="108" w:type="dxa"/>
              <w:bottom w:w="100" w:type="dxa"/>
              <w:right w:w="108" w:type="dxa"/>
            </w:tcMar>
          </w:tcPr>
          <w:p w:rsidR="001F53B2" w:rsidRDefault="000466FE" w:rsidP="005B6F3B">
            <w:pPr>
              <w:pStyle w:val="TableText"/>
            </w:pPr>
            <w:r w:rsidRPr="000466FE">
              <w:t>Varies by lesson but may include responses to questions focused on structural choices; character development; central idea development; and how authors unfold analysis or a series of events or ideas, through discussion, tools</w:t>
            </w:r>
            <w:r w:rsidR="00EC6842">
              <w:t>,</w:t>
            </w:r>
            <w:r w:rsidRPr="000466FE">
              <w:t xml:space="preserve"> and informal writing prompts.</w:t>
            </w:r>
          </w:p>
        </w:tc>
      </w:tr>
    </w:tbl>
    <w:p w:rsidR="001F53B2" w:rsidRDefault="001F53B2">
      <w:pPr>
        <w:spacing w:before="0" w:after="0" w:line="240" w:lineRule="auto"/>
      </w:pPr>
    </w:p>
    <w:p w:rsidR="001F53B2" w:rsidRDefault="001F53B2">
      <w:pPr>
        <w:spacing w:before="0" w:after="0" w:line="240" w:lineRule="auto"/>
      </w:pPr>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813"/>
        <w:gridCol w:w="7660"/>
      </w:tblGrid>
      <w:tr w:rsidR="009C02A7" w:rsidTr="00E017EA">
        <w:tc>
          <w:tcPr>
            <w:tcW w:w="9473" w:type="dxa"/>
            <w:gridSpan w:val="2"/>
            <w:shd w:val="clear" w:color="auto" w:fill="5F497A"/>
            <w:tcMar>
              <w:top w:w="100" w:type="dxa"/>
              <w:left w:w="108" w:type="dxa"/>
              <w:bottom w:w="100" w:type="dxa"/>
              <w:right w:w="108" w:type="dxa"/>
            </w:tcMar>
          </w:tcPr>
          <w:p w:rsidR="009C02A7" w:rsidRDefault="000466FE" w:rsidP="000466FE">
            <w:pPr>
              <w:pStyle w:val="TableHeaders"/>
              <w:keepNext/>
            </w:pPr>
            <w:r>
              <w:t>Mid</w:t>
            </w:r>
            <w:r w:rsidR="009C02A7">
              <w:t>-Unit Assessment</w:t>
            </w:r>
          </w:p>
        </w:tc>
      </w:tr>
      <w:tr w:rsidR="001F53B2" w:rsidTr="00E017EA">
        <w:tc>
          <w:tcPr>
            <w:tcW w:w="1813" w:type="dxa"/>
            <w:tcMar>
              <w:top w:w="100" w:type="dxa"/>
              <w:left w:w="108" w:type="dxa"/>
              <w:bottom w:w="100" w:type="dxa"/>
              <w:right w:w="108" w:type="dxa"/>
            </w:tcMar>
          </w:tcPr>
          <w:p w:rsidR="001F53B2" w:rsidRPr="005B6F3B" w:rsidRDefault="00B15AEC" w:rsidP="005B6F3B">
            <w:pPr>
              <w:pStyle w:val="TableText"/>
              <w:rPr>
                <w:b/>
              </w:rPr>
            </w:pPr>
            <w:r w:rsidRPr="005B6F3B">
              <w:rPr>
                <w:b/>
              </w:rPr>
              <w:t>Standards Assessed</w:t>
            </w:r>
          </w:p>
        </w:tc>
        <w:tc>
          <w:tcPr>
            <w:tcW w:w="7660" w:type="dxa"/>
            <w:tcMar>
              <w:top w:w="100" w:type="dxa"/>
              <w:left w:w="108" w:type="dxa"/>
              <w:bottom w:w="100" w:type="dxa"/>
              <w:right w:w="108" w:type="dxa"/>
            </w:tcMar>
          </w:tcPr>
          <w:p w:rsidR="001F53B2" w:rsidRDefault="000466FE" w:rsidP="005B6F3B">
            <w:pPr>
              <w:pStyle w:val="TableText"/>
            </w:pPr>
            <w:r w:rsidRPr="00C36707">
              <w:t>RL.9-10.2, W.9-10.2</w:t>
            </w:r>
            <w:r w:rsidR="00B96DE5">
              <w:t>.</w:t>
            </w:r>
            <w:r w:rsidRPr="00C36707">
              <w:t>b, W.9-10.4, SL.9-10.4</w:t>
            </w:r>
          </w:p>
        </w:tc>
      </w:tr>
      <w:tr w:rsidR="001F53B2" w:rsidTr="00E017EA">
        <w:trPr>
          <w:trHeight w:val="740"/>
        </w:trPr>
        <w:tc>
          <w:tcPr>
            <w:tcW w:w="1813" w:type="dxa"/>
            <w:tcMar>
              <w:top w:w="100" w:type="dxa"/>
              <w:left w:w="108" w:type="dxa"/>
              <w:bottom w:w="100" w:type="dxa"/>
              <w:right w:w="108" w:type="dxa"/>
            </w:tcMar>
          </w:tcPr>
          <w:p w:rsidR="001F53B2" w:rsidRPr="005B6F3B" w:rsidRDefault="00B15AEC" w:rsidP="005B6F3B">
            <w:pPr>
              <w:pStyle w:val="TableText"/>
              <w:rPr>
                <w:b/>
              </w:rPr>
            </w:pPr>
            <w:r w:rsidRPr="005B6F3B">
              <w:rPr>
                <w:b/>
              </w:rPr>
              <w:lastRenderedPageBreak/>
              <w:t>Description of Assessment</w:t>
            </w:r>
          </w:p>
        </w:tc>
        <w:tc>
          <w:tcPr>
            <w:tcW w:w="7660" w:type="dxa"/>
            <w:tcMar>
              <w:top w:w="100" w:type="dxa"/>
              <w:left w:w="108" w:type="dxa"/>
              <w:bottom w:w="100" w:type="dxa"/>
              <w:right w:w="108" w:type="dxa"/>
            </w:tcMar>
          </w:tcPr>
          <w:p w:rsidR="001F53B2" w:rsidRDefault="000466FE" w:rsidP="005B6F3B">
            <w:pPr>
              <w:pStyle w:val="TableText"/>
            </w:pPr>
            <w:r>
              <w:t xml:space="preserve">Students use the skills and habits they have been building throughout the unit to craft a presentation in groups in response to the following prompt: How does Tan develop a central idea in “Two Kinds”? Each student group </w:t>
            </w:r>
            <w:r w:rsidR="00D75D83">
              <w:t>is</w:t>
            </w:r>
            <w:r>
              <w:t xml:space="preserve"> assigned a specific key passage of Tan’s text to focus their analysis. Students </w:t>
            </w:r>
            <w:r w:rsidR="00D75D83">
              <w:t>are</w:t>
            </w:r>
            <w:r>
              <w:t xml:space="preserve"> assessed on the presentation of their findings, as well as an accompanying brief written response on the Presentation Preparation Tool.</w:t>
            </w:r>
          </w:p>
        </w:tc>
      </w:tr>
      <w:tr w:rsidR="000466FE" w:rsidTr="00E017EA">
        <w:tc>
          <w:tcPr>
            <w:tcW w:w="9473" w:type="dxa"/>
            <w:gridSpan w:val="2"/>
            <w:shd w:val="clear" w:color="auto" w:fill="5F497A"/>
            <w:tcMar>
              <w:top w:w="100" w:type="dxa"/>
              <w:left w:w="108" w:type="dxa"/>
              <w:bottom w:w="100" w:type="dxa"/>
              <w:right w:w="108" w:type="dxa"/>
            </w:tcMar>
          </w:tcPr>
          <w:p w:rsidR="000466FE" w:rsidRDefault="000466FE" w:rsidP="00236AFC">
            <w:pPr>
              <w:pStyle w:val="TableHeaders"/>
              <w:keepNext/>
            </w:pPr>
            <w:r>
              <w:t>End-of-Unit Assessment</w:t>
            </w:r>
          </w:p>
        </w:tc>
      </w:tr>
      <w:tr w:rsidR="000466FE" w:rsidTr="00E017EA">
        <w:tc>
          <w:tcPr>
            <w:tcW w:w="1813" w:type="dxa"/>
            <w:tcMar>
              <w:top w:w="100" w:type="dxa"/>
              <w:left w:w="108" w:type="dxa"/>
              <w:bottom w:w="100" w:type="dxa"/>
              <w:right w:w="108" w:type="dxa"/>
            </w:tcMar>
          </w:tcPr>
          <w:p w:rsidR="000466FE" w:rsidRPr="005B6F3B" w:rsidRDefault="000466FE" w:rsidP="005B6F3B">
            <w:pPr>
              <w:pStyle w:val="TableText"/>
              <w:rPr>
                <w:b/>
              </w:rPr>
            </w:pPr>
            <w:r w:rsidRPr="005B6F3B">
              <w:rPr>
                <w:b/>
              </w:rPr>
              <w:t>Standards Assessed</w:t>
            </w:r>
          </w:p>
        </w:tc>
        <w:tc>
          <w:tcPr>
            <w:tcW w:w="7660" w:type="dxa"/>
            <w:tcMar>
              <w:top w:w="100" w:type="dxa"/>
              <w:left w:w="108" w:type="dxa"/>
              <w:bottom w:w="100" w:type="dxa"/>
              <w:right w:w="108" w:type="dxa"/>
            </w:tcMar>
          </w:tcPr>
          <w:p w:rsidR="000466FE" w:rsidRDefault="000466FE" w:rsidP="005B6F3B">
            <w:pPr>
              <w:pStyle w:val="TableText"/>
            </w:pPr>
            <w:r w:rsidRPr="00C36707">
              <w:t>RI.9-10.2, RL.9-10.2, W.9-10.2, W.9-10.9</w:t>
            </w:r>
          </w:p>
        </w:tc>
      </w:tr>
      <w:tr w:rsidR="000466FE" w:rsidTr="00E017EA">
        <w:trPr>
          <w:trHeight w:val="740"/>
        </w:trPr>
        <w:tc>
          <w:tcPr>
            <w:tcW w:w="1813" w:type="dxa"/>
            <w:tcMar>
              <w:top w:w="100" w:type="dxa"/>
              <w:left w:w="108" w:type="dxa"/>
              <w:bottom w:w="100" w:type="dxa"/>
              <w:right w:w="108" w:type="dxa"/>
            </w:tcMar>
          </w:tcPr>
          <w:p w:rsidR="000466FE" w:rsidRPr="005B6F3B" w:rsidRDefault="000466FE" w:rsidP="005B6F3B">
            <w:pPr>
              <w:pStyle w:val="TableText"/>
              <w:rPr>
                <w:b/>
              </w:rPr>
            </w:pPr>
            <w:r w:rsidRPr="005B6F3B">
              <w:rPr>
                <w:b/>
              </w:rPr>
              <w:t>Description of Assessment</w:t>
            </w:r>
          </w:p>
        </w:tc>
        <w:tc>
          <w:tcPr>
            <w:tcW w:w="7660" w:type="dxa"/>
            <w:tcMar>
              <w:top w:w="100" w:type="dxa"/>
              <w:left w:w="108" w:type="dxa"/>
              <w:bottom w:w="100" w:type="dxa"/>
              <w:right w:w="108" w:type="dxa"/>
            </w:tcMar>
          </w:tcPr>
          <w:p w:rsidR="000466FE" w:rsidRDefault="000466FE" w:rsidP="005B6F3B">
            <w:pPr>
              <w:pStyle w:val="TableText"/>
            </w:pPr>
            <w:r>
              <w:t>Students use the skills and habits they have been building throughout the unit to craft a multi</w:t>
            </w:r>
            <w:r w:rsidR="00017790">
              <w:t>-</w:t>
            </w:r>
            <w:r>
              <w:t xml:space="preserve">paragraph response to the </w:t>
            </w:r>
            <w:r w:rsidR="00017790">
              <w:t>E</w:t>
            </w:r>
            <w:r>
              <w:t>nd</w:t>
            </w:r>
            <w:r w:rsidR="00017790">
              <w:t>-</w:t>
            </w:r>
            <w:r>
              <w:t>of</w:t>
            </w:r>
            <w:r w:rsidR="00017790">
              <w:t>-U</w:t>
            </w:r>
            <w:r>
              <w:t xml:space="preserve">nit </w:t>
            </w:r>
            <w:r w:rsidR="00017790">
              <w:t>A</w:t>
            </w:r>
            <w:r>
              <w:t xml:space="preserve">ssessment prompt: </w:t>
            </w:r>
            <w:r w:rsidR="00017790">
              <w:t>C</w:t>
            </w:r>
            <w:r>
              <w:t xml:space="preserve">hoose either “Rules of the Game” or “Two Kinds” from </w:t>
            </w:r>
            <w:r w:rsidR="00017790">
              <w:rPr>
                <w:i/>
              </w:rPr>
              <w:t xml:space="preserve">The </w:t>
            </w:r>
            <w:r>
              <w:rPr>
                <w:i/>
              </w:rPr>
              <w:t>Joy Luck Club</w:t>
            </w:r>
            <w:r>
              <w:t xml:space="preserve">, and compare it to Bissinger’s “Dreaming of Heroes” from </w:t>
            </w:r>
            <w:r>
              <w:rPr>
                <w:i/>
              </w:rPr>
              <w:t>Friday Night Lights.</w:t>
            </w:r>
            <w:r>
              <w:t xml:space="preserve"> How do the relationships between children and their parents develop the central ideas of these two texts? Students cite evidence from both texts in this unit to support their response to this assessment.</w:t>
            </w:r>
          </w:p>
        </w:tc>
      </w:tr>
    </w:tbl>
    <w:p w:rsidR="000466FE" w:rsidRPr="000466FE" w:rsidRDefault="000466FE" w:rsidP="000466FE"/>
    <w:p w:rsidR="001F53B2" w:rsidRDefault="00B15AEC" w:rsidP="00AC075B">
      <w:pPr>
        <w:pStyle w:val="Heading1"/>
        <w:keepNext w:val="0"/>
        <w:keepLines w:val="0"/>
        <w:pageBreakBefore/>
      </w:pPr>
      <w:r>
        <w:lastRenderedPageBreak/>
        <w:t>Unit-at-a-Glance Calendar</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92"/>
        <w:gridCol w:w="2309"/>
        <w:gridCol w:w="6249"/>
      </w:tblGrid>
      <w:tr w:rsidR="001F53B2">
        <w:trPr>
          <w:tblHeader/>
        </w:trPr>
        <w:tc>
          <w:tcPr>
            <w:tcW w:w="892"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Lesson</w:t>
            </w:r>
          </w:p>
        </w:tc>
        <w:tc>
          <w:tcPr>
            <w:tcW w:w="2309" w:type="dxa"/>
            <w:shd w:val="clear" w:color="auto" w:fill="5F497A"/>
            <w:tcMar>
              <w:top w:w="100" w:type="dxa"/>
              <w:left w:w="115" w:type="dxa"/>
              <w:bottom w:w="100" w:type="dxa"/>
              <w:right w:w="115" w:type="dxa"/>
            </w:tcMar>
            <w:vAlign w:val="center"/>
          </w:tcPr>
          <w:p w:rsidR="001F53B2" w:rsidRPr="006F61C4" w:rsidRDefault="00B15AEC" w:rsidP="00AC075B">
            <w:pPr>
              <w:pStyle w:val="TableHeaders"/>
              <w:pageBreakBefore/>
            </w:pPr>
            <w:r w:rsidRPr="006F61C4">
              <w:t>Text</w:t>
            </w:r>
          </w:p>
        </w:tc>
        <w:tc>
          <w:tcPr>
            <w:tcW w:w="6249" w:type="dxa"/>
            <w:shd w:val="clear" w:color="auto" w:fill="5F497A"/>
            <w:tcMar>
              <w:top w:w="100" w:type="dxa"/>
              <w:left w:w="115" w:type="dxa"/>
              <w:bottom w:w="100" w:type="dxa"/>
              <w:right w:w="115" w:type="dxa"/>
            </w:tcMar>
            <w:vAlign w:val="center"/>
          </w:tcPr>
          <w:p w:rsidR="001F53B2" w:rsidRPr="006F61C4" w:rsidRDefault="00B15AEC" w:rsidP="00584311">
            <w:pPr>
              <w:pStyle w:val="TableHeaders"/>
            </w:pPr>
            <w:r w:rsidRPr="006F61C4">
              <w:t>Learning Outcomes/Goals</w:t>
            </w:r>
          </w:p>
        </w:tc>
      </w:tr>
      <w:tr w:rsidR="001F53B2">
        <w:tc>
          <w:tcPr>
            <w:tcW w:w="892" w:type="dxa"/>
            <w:shd w:val="clear" w:color="auto" w:fill="FFFFFF"/>
            <w:tcMar>
              <w:top w:w="100" w:type="dxa"/>
              <w:left w:w="115" w:type="dxa"/>
              <w:bottom w:w="100" w:type="dxa"/>
              <w:right w:w="115" w:type="dxa"/>
            </w:tcMar>
          </w:tcPr>
          <w:p w:rsidR="001F53B2" w:rsidRDefault="00B15AEC" w:rsidP="006D6233">
            <w:r w:rsidRPr="00C36707">
              <w:t>1</w:t>
            </w:r>
          </w:p>
        </w:tc>
        <w:tc>
          <w:tcPr>
            <w:tcW w:w="2309" w:type="dxa"/>
            <w:shd w:val="clear" w:color="auto" w:fill="FFFFFF"/>
            <w:tcMar>
              <w:top w:w="100" w:type="dxa"/>
              <w:left w:w="115" w:type="dxa"/>
              <w:bottom w:w="100" w:type="dxa"/>
              <w:right w:w="115" w:type="dxa"/>
            </w:tcMar>
          </w:tcPr>
          <w:p w:rsidR="001F53B2" w:rsidRDefault="000466FE" w:rsidP="00E63EC8">
            <w:r w:rsidRPr="000466FE">
              <w:t>“Rules of the Game” (pp. 89</w:t>
            </w:r>
            <w:r w:rsidR="0080608F">
              <w:t>–</w:t>
            </w:r>
            <w:r w:rsidRPr="000466FE">
              <w:t>101)</w:t>
            </w:r>
          </w:p>
        </w:tc>
        <w:tc>
          <w:tcPr>
            <w:tcW w:w="6249" w:type="dxa"/>
            <w:shd w:val="clear" w:color="auto" w:fill="FFFFFF"/>
            <w:tcMar>
              <w:top w:w="100" w:type="dxa"/>
              <w:left w:w="115" w:type="dxa"/>
              <w:bottom w:w="100" w:type="dxa"/>
              <w:right w:w="115" w:type="dxa"/>
            </w:tcMar>
          </w:tcPr>
          <w:p w:rsidR="001F53B2" w:rsidRDefault="000466FE" w:rsidP="00EC6842">
            <w:r w:rsidRPr="00F237EC">
              <w:rPr>
                <w:rFonts w:asciiTheme="minorHAnsi" w:hAnsiTheme="minorHAnsi"/>
              </w:rPr>
              <w:t>Students listen to a masterful reading of “Rules of the Game” in its entirety. Students work slowly and deliberately through a short portion of the chapter, analyz</w:t>
            </w:r>
            <w:r w:rsidR="00EC6842">
              <w:rPr>
                <w:rFonts w:asciiTheme="minorHAnsi" w:hAnsiTheme="minorHAnsi"/>
              </w:rPr>
              <w:t>ing</w:t>
            </w:r>
            <w:r w:rsidRPr="00F237EC">
              <w:rPr>
                <w:rFonts w:asciiTheme="minorHAnsi" w:hAnsiTheme="minorHAnsi"/>
              </w:rPr>
              <w:t xml:space="preserve"> the interactions of Waverly Jong and her mother.</w:t>
            </w:r>
          </w:p>
        </w:tc>
      </w:tr>
      <w:tr w:rsidR="001F53B2">
        <w:tc>
          <w:tcPr>
            <w:tcW w:w="892" w:type="dxa"/>
            <w:shd w:val="clear" w:color="auto" w:fill="FFFFFF"/>
            <w:tcMar>
              <w:top w:w="100" w:type="dxa"/>
              <w:left w:w="115" w:type="dxa"/>
              <w:bottom w:w="100" w:type="dxa"/>
              <w:right w:w="115" w:type="dxa"/>
            </w:tcMar>
          </w:tcPr>
          <w:p w:rsidR="001F53B2" w:rsidRDefault="00B15AEC" w:rsidP="006D6233">
            <w:r w:rsidRPr="00C36707">
              <w:t>2</w:t>
            </w:r>
          </w:p>
        </w:tc>
        <w:tc>
          <w:tcPr>
            <w:tcW w:w="2309" w:type="dxa"/>
            <w:shd w:val="clear" w:color="auto" w:fill="FFFFFF"/>
            <w:tcMar>
              <w:top w:w="100" w:type="dxa"/>
              <w:left w:w="115" w:type="dxa"/>
              <w:bottom w:w="100" w:type="dxa"/>
              <w:right w:w="115" w:type="dxa"/>
            </w:tcMar>
          </w:tcPr>
          <w:p w:rsidR="001F53B2" w:rsidRDefault="000466FE" w:rsidP="00E63EC8">
            <w:r w:rsidRPr="00F237EC">
              <w:rPr>
                <w:rFonts w:asciiTheme="minorHAnsi" w:hAnsiTheme="minorHAnsi"/>
              </w:rPr>
              <w:t>“Rules of the Game”: “</w:t>
            </w:r>
            <w:r w:rsidR="0080608F">
              <w:rPr>
                <w:rFonts w:asciiTheme="minorHAnsi" w:hAnsiTheme="minorHAnsi"/>
              </w:rPr>
              <w:t>M</w:t>
            </w:r>
            <w:r w:rsidRPr="00F237EC">
              <w:rPr>
                <w:rFonts w:asciiTheme="minorHAnsi" w:hAnsiTheme="minorHAnsi"/>
              </w:rPr>
              <w:t>y mother imparted” through “dog-eared instruction book” (pp. 89</w:t>
            </w:r>
            <w:r w:rsidR="0080608F">
              <w:rPr>
                <w:rFonts w:asciiTheme="minorHAnsi" w:hAnsiTheme="minorHAnsi"/>
              </w:rPr>
              <w:t>–</w:t>
            </w:r>
            <w:r w:rsidRPr="00F237EC">
              <w:rPr>
                <w:rFonts w:asciiTheme="minorHAnsi" w:hAnsiTheme="minorHAnsi"/>
              </w:rPr>
              <w:t>93)</w:t>
            </w:r>
          </w:p>
        </w:tc>
        <w:tc>
          <w:tcPr>
            <w:tcW w:w="6249" w:type="dxa"/>
            <w:shd w:val="clear" w:color="auto" w:fill="FFFFFF"/>
            <w:tcMar>
              <w:top w:w="100" w:type="dxa"/>
              <w:left w:w="115" w:type="dxa"/>
              <w:bottom w:w="100" w:type="dxa"/>
              <w:right w:w="115" w:type="dxa"/>
            </w:tcMar>
          </w:tcPr>
          <w:p w:rsidR="001F53B2" w:rsidRDefault="000466FE" w:rsidP="00E63EC8">
            <w:r w:rsidRPr="00F237EC">
              <w:rPr>
                <w:rFonts w:asciiTheme="minorHAnsi" w:hAnsiTheme="minorHAnsi"/>
              </w:rPr>
              <w:t>Students collaboratively analyze the development of Waverly Jong through an exploration of her descriptions of her neighborhood and her interactions with the characters that populate it, with a particular focus on the significance of the chessboard in this excerpt.</w:t>
            </w:r>
          </w:p>
        </w:tc>
      </w:tr>
      <w:tr w:rsidR="000466FE">
        <w:tc>
          <w:tcPr>
            <w:tcW w:w="892" w:type="dxa"/>
            <w:shd w:val="clear" w:color="auto" w:fill="FFFFFF"/>
            <w:tcMar>
              <w:top w:w="100" w:type="dxa"/>
              <w:left w:w="115" w:type="dxa"/>
              <w:bottom w:w="100" w:type="dxa"/>
              <w:right w:w="115" w:type="dxa"/>
            </w:tcMar>
          </w:tcPr>
          <w:p w:rsidR="000466FE" w:rsidRDefault="000466FE" w:rsidP="000466FE">
            <w:r w:rsidRPr="00C36707">
              <w:t>3</w:t>
            </w:r>
          </w:p>
        </w:tc>
        <w:tc>
          <w:tcPr>
            <w:tcW w:w="2309" w:type="dxa"/>
            <w:shd w:val="clear" w:color="auto" w:fill="FFFFFF"/>
            <w:tcMar>
              <w:top w:w="100" w:type="dxa"/>
              <w:left w:w="115" w:type="dxa"/>
              <w:bottom w:w="100" w:type="dxa"/>
              <w:right w:w="115" w:type="dxa"/>
            </w:tcMar>
          </w:tcPr>
          <w:p w:rsidR="000466FE" w:rsidRPr="00F237EC" w:rsidRDefault="000466FE" w:rsidP="00E63EC8">
            <w:pPr>
              <w:rPr>
                <w:rFonts w:asciiTheme="minorHAnsi" w:hAnsiTheme="minorHAnsi"/>
              </w:rPr>
            </w:pPr>
            <w:r w:rsidRPr="00F237EC">
              <w:rPr>
                <w:rFonts w:asciiTheme="minorHAnsi" w:hAnsiTheme="minorHAnsi"/>
              </w:rPr>
              <w:t>“Rules of the Game”: “I watched Vincent” through “my opponent for good measure” (pp. 93</w:t>
            </w:r>
            <w:r w:rsidR="00E63EC8">
              <w:rPr>
                <w:rFonts w:asciiTheme="minorHAnsi" w:hAnsiTheme="minorHAnsi"/>
              </w:rPr>
              <w:t>–</w:t>
            </w:r>
            <w:r w:rsidRPr="00F237EC">
              <w:rPr>
                <w:rFonts w:asciiTheme="minorHAnsi" w:hAnsiTheme="minorHAnsi"/>
              </w:rPr>
              <w:t>98)</w:t>
            </w:r>
          </w:p>
        </w:tc>
        <w:tc>
          <w:tcPr>
            <w:tcW w:w="6249" w:type="dxa"/>
            <w:shd w:val="clear" w:color="auto" w:fill="FFFFFF"/>
            <w:tcMar>
              <w:top w:w="100" w:type="dxa"/>
              <w:left w:w="115" w:type="dxa"/>
              <w:bottom w:w="100" w:type="dxa"/>
              <w:right w:w="115" w:type="dxa"/>
            </w:tcMar>
          </w:tcPr>
          <w:p w:rsidR="000466FE" w:rsidRDefault="000466FE" w:rsidP="00E63EC8">
            <w:r w:rsidRPr="00F237EC">
              <w:rPr>
                <w:rFonts w:asciiTheme="minorHAnsi" w:hAnsiTheme="minorHAnsi"/>
              </w:rPr>
              <w:t>Students build upon their analysis of Waverly's character development as they explore the relationship between her outward success in chess competitions and her inner thoughts and feelings. Students consider Waverly’s interactions with her mother and make inferences about the shifting familial and social expectations placed on her.</w:t>
            </w:r>
          </w:p>
        </w:tc>
      </w:tr>
      <w:tr w:rsidR="000466FE">
        <w:tc>
          <w:tcPr>
            <w:tcW w:w="892" w:type="dxa"/>
            <w:shd w:val="clear" w:color="auto" w:fill="FFFFFF"/>
            <w:tcMar>
              <w:top w:w="100" w:type="dxa"/>
              <w:left w:w="115" w:type="dxa"/>
              <w:bottom w:w="100" w:type="dxa"/>
              <w:right w:w="115" w:type="dxa"/>
            </w:tcMar>
          </w:tcPr>
          <w:p w:rsidR="000466FE" w:rsidRDefault="000466FE" w:rsidP="000466FE">
            <w:r w:rsidRPr="00C36707">
              <w:t>4</w:t>
            </w:r>
          </w:p>
        </w:tc>
        <w:tc>
          <w:tcPr>
            <w:tcW w:w="2309" w:type="dxa"/>
            <w:shd w:val="clear" w:color="auto" w:fill="FFFFFF"/>
            <w:tcMar>
              <w:top w:w="100" w:type="dxa"/>
              <w:left w:w="115" w:type="dxa"/>
              <w:bottom w:w="100" w:type="dxa"/>
              <w:right w:w="115" w:type="dxa"/>
            </w:tcMar>
          </w:tcPr>
          <w:p w:rsidR="000466FE" w:rsidRDefault="000466FE" w:rsidP="00F16F3A">
            <w:r w:rsidRPr="00F237EC">
              <w:rPr>
                <w:rFonts w:asciiTheme="minorHAnsi" w:hAnsiTheme="minorHAnsi"/>
              </w:rPr>
              <w:t>“Rules of the Game”: “I no longer played in the alley” through “pondered my next move” (pp. 98</w:t>
            </w:r>
            <w:r w:rsidR="00F16F3A">
              <w:rPr>
                <w:rFonts w:asciiTheme="minorHAnsi" w:hAnsiTheme="minorHAnsi"/>
              </w:rPr>
              <w:t>–</w:t>
            </w:r>
            <w:r w:rsidRPr="00F237EC">
              <w:rPr>
                <w:rFonts w:asciiTheme="minorHAnsi" w:hAnsiTheme="minorHAnsi"/>
              </w:rPr>
              <w:t>101)</w:t>
            </w:r>
          </w:p>
        </w:tc>
        <w:tc>
          <w:tcPr>
            <w:tcW w:w="6249" w:type="dxa"/>
            <w:shd w:val="clear" w:color="auto" w:fill="FFFFFF"/>
            <w:tcMar>
              <w:top w:w="100" w:type="dxa"/>
              <w:left w:w="115" w:type="dxa"/>
              <w:bottom w:w="100" w:type="dxa"/>
              <w:right w:w="115" w:type="dxa"/>
            </w:tcMar>
          </w:tcPr>
          <w:p w:rsidR="000466FE" w:rsidRDefault="000466FE" w:rsidP="004D7A8A">
            <w:r w:rsidRPr="00F237EC">
              <w:rPr>
                <w:rFonts w:asciiTheme="minorHAnsi" w:hAnsiTheme="minorHAnsi"/>
              </w:rPr>
              <w:t>Students complete their close reading of this chapter, analyzing the cumulative development of Waverly's character by considering her shifting interactions with her mother. Students also consider the development of central ideas in the chapter.</w:t>
            </w:r>
          </w:p>
        </w:tc>
      </w:tr>
      <w:tr w:rsidR="000466FE">
        <w:tc>
          <w:tcPr>
            <w:tcW w:w="892" w:type="dxa"/>
            <w:shd w:val="clear" w:color="auto" w:fill="FFFFFF"/>
            <w:tcMar>
              <w:top w:w="100" w:type="dxa"/>
              <w:left w:w="115" w:type="dxa"/>
              <w:bottom w:w="100" w:type="dxa"/>
              <w:right w:w="115" w:type="dxa"/>
            </w:tcMar>
          </w:tcPr>
          <w:p w:rsidR="000466FE" w:rsidRDefault="000466FE" w:rsidP="00AC075B">
            <w:pPr>
              <w:pStyle w:val="TableText"/>
            </w:pPr>
            <w:r w:rsidRPr="00C36707">
              <w:t>5</w:t>
            </w:r>
          </w:p>
        </w:tc>
        <w:tc>
          <w:tcPr>
            <w:tcW w:w="2309" w:type="dxa"/>
            <w:shd w:val="clear" w:color="auto" w:fill="FFFFFF"/>
            <w:tcMar>
              <w:top w:w="100" w:type="dxa"/>
              <w:left w:w="115" w:type="dxa"/>
              <w:bottom w:w="100" w:type="dxa"/>
              <w:right w:w="115" w:type="dxa"/>
            </w:tcMar>
          </w:tcPr>
          <w:p w:rsidR="000466FE" w:rsidRDefault="000466FE" w:rsidP="00AC075B">
            <w:pPr>
              <w:pStyle w:val="TableText"/>
            </w:pPr>
            <w:r w:rsidRPr="00F237EC">
              <w:rPr>
                <w:rFonts w:asciiTheme="minorHAnsi" w:eastAsia="Cambria" w:hAnsiTheme="minorHAnsi" w:cs="Cambria"/>
              </w:rPr>
              <w:t xml:space="preserve">“Two Kinds”: “My mother believed” through </w:t>
            </w:r>
            <w:r w:rsidR="00F16F3A">
              <w:rPr>
                <w:rFonts w:asciiTheme="minorHAnsi" w:eastAsia="Cambria" w:hAnsiTheme="minorHAnsi" w:cs="Cambria"/>
              </w:rPr>
              <w:t>“</w:t>
            </w:r>
            <w:r w:rsidRPr="00F237EC">
              <w:rPr>
                <w:rFonts w:asciiTheme="minorHAnsi" w:eastAsia="Cambria" w:hAnsiTheme="minorHAnsi" w:cs="Cambria"/>
              </w:rPr>
              <w:t>At last she was beginning to give up hope” (pp. 132</w:t>
            </w:r>
            <w:r w:rsidR="00F16F3A">
              <w:rPr>
                <w:rFonts w:asciiTheme="minorHAnsi" w:eastAsia="Cambria" w:hAnsiTheme="minorHAnsi" w:cs="Cambria"/>
              </w:rPr>
              <w:t>–</w:t>
            </w:r>
            <w:r w:rsidRPr="00F237EC">
              <w:rPr>
                <w:rFonts w:asciiTheme="minorHAnsi" w:eastAsia="Cambria" w:hAnsiTheme="minorHAnsi" w:cs="Cambria"/>
              </w:rPr>
              <w:t>135)</w:t>
            </w:r>
          </w:p>
        </w:tc>
        <w:tc>
          <w:tcPr>
            <w:tcW w:w="6249" w:type="dxa"/>
            <w:shd w:val="clear" w:color="auto" w:fill="FFFFFF"/>
            <w:tcMar>
              <w:top w:w="100" w:type="dxa"/>
              <w:left w:w="115" w:type="dxa"/>
              <w:bottom w:w="100" w:type="dxa"/>
              <w:right w:w="115" w:type="dxa"/>
            </w:tcMar>
          </w:tcPr>
          <w:p w:rsidR="000466FE" w:rsidRDefault="000466FE" w:rsidP="00AC075B">
            <w:pPr>
              <w:pStyle w:val="TableText"/>
            </w:pPr>
            <w:r w:rsidRPr="00F237EC">
              <w:rPr>
                <w:rFonts w:asciiTheme="minorHAnsi" w:eastAsia="Cambria" w:hAnsiTheme="minorHAnsi" w:cs="Cambria"/>
              </w:rPr>
              <w:t xml:space="preserve">Students begin their exploration of “Two Kinds,” the second excerpt from Amy Tan’s </w:t>
            </w:r>
            <w:r w:rsidR="00314566" w:rsidRPr="00314566">
              <w:rPr>
                <w:rFonts w:asciiTheme="minorHAnsi" w:eastAsia="Cambria" w:hAnsiTheme="minorHAnsi" w:cs="Cambria"/>
                <w:i/>
              </w:rPr>
              <w:t xml:space="preserve">The </w:t>
            </w:r>
            <w:r w:rsidRPr="00F237EC">
              <w:rPr>
                <w:rFonts w:asciiTheme="minorHAnsi" w:eastAsia="Cambria" w:hAnsiTheme="minorHAnsi" w:cs="Cambria"/>
                <w:i/>
              </w:rPr>
              <w:t>Joy Luck Club</w:t>
            </w:r>
            <w:r w:rsidRPr="00F237EC">
              <w:rPr>
                <w:rFonts w:asciiTheme="minorHAnsi" w:eastAsia="Cambria" w:hAnsiTheme="minorHAnsi" w:cs="Cambria"/>
              </w:rPr>
              <w:t xml:space="preserve">. Students analyze Jing-mei’s interactions with her mother and continue to build upon the unit-long focus on </w:t>
            </w:r>
            <w:r w:rsidR="005547D1">
              <w:rPr>
                <w:rFonts w:asciiTheme="minorHAnsi" w:eastAsia="Cambria" w:hAnsiTheme="minorHAnsi" w:cs="Cambria"/>
              </w:rPr>
              <w:t xml:space="preserve">central-idea </w:t>
            </w:r>
            <w:r w:rsidRPr="00F237EC">
              <w:rPr>
                <w:rFonts w:asciiTheme="minorHAnsi" w:eastAsia="Cambria" w:hAnsiTheme="minorHAnsi" w:cs="Cambria"/>
              </w:rPr>
              <w:t>development, as they consider how Tan unfolds the central ideas of parental expectations and identity.</w:t>
            </w:r>
          </w:p>
        </w:tc>
      </w:tr>
      <w:tr w:rsidR="000466FE">
        <w:tc>
          <w:tcPr>
            <w:tcW w:w="892" w:type="dxa"/>
            <w:shd w:val="clear" w:color="auto" w:fill="FFFFFF"/>
            <w:tcMar>
              <w:top w:w="100" w:type="dxa"/>
              <w:left w:w="115" w:type="dxa"/>
              <w:bottom w:w="100" w:type="dxa"/>
              <w:right w:w="115" w:type="dxa"/>
            </w:tcMar>
          </w:tcPr>
          <w:p w:rsidR="000466FE" w:rsidRDefault="000466FE" w:rsidP="00AC075B">
            <w:pPr>
              <w:pStyle w:val="TableText"/>
            </w:pPr>
            <w:r w:rsidRPr="00C36707">
              <w:lastRenderedPageBreak/>
              <w:t>6</w:t>
            </w:r>
          </w:p>
        </w:tc>
        <w:tc>
          <w:tcPr>
            <w:tcW w:w="2309" w:type="dxa"/>
            <w:shd w:val="clear" w:color="auto" w:fill="FFFFFF"/>
            <w:tcMar>
              <w:top w:w="100" w:type="dxa"/>
              <w:left w:w="115" w:type="dxa"/>
              <w:bottom w:w="100" w:type="dxa"/>
              <w:right w:w="115" w:type="dxa"/>
            </w:tcMar>
          </w:tcPr>
          <w:p w:rsidR="000466FE" w:rsidRDefault="000466FE" w:rsidP="00AC075B">
            <w:pPr>
              <w:pStyle w:val="TableText"/>
            </w:pPr>
            <w:r w:rsidRPr="00F237EC">
              <w:rPr>
                <w:rFonts w:asciiTheme="minorHAnsi" w:eastAsia="Cambria" w:hAnsiTheme="minorHAnsi" w:cs="Cambria"/>
              </w:rPr>
              <w:t>“Two Kinds”:</w:t>
            </w:r>
            <w:r>
              <w:rPr>
                <w:rFonts w:asciiTheme="minorHAnsi" w:eastAsia="Cambria" w:hAnsiTheme="minorHAnsi" w:cs="Cambria"/>
              </w:rPr>
              <w:t xml:space="preserve"> </w:t>
            </w:r>
            <w:r w:rsidRPr="00F237EC">
              <w:rPr>
                <w:rFonts w:asciiTheme="minorHAnsi" w:eastAsia="Cambria" w:hAnsiTheme="minorHAnsi" w:cs="Cambria"/>
              </w:rPr>
              <w:t>“Three days after watching the Ed Sullivan show” through  “I was determined to put a stop to her foolish pride” (pp. 136</w:t>
            </w:r>
            <w:r w:rsidR="00B251A0">
              <w:rPr>
                <w:rFonts w:asciiTheme="minorHAnsi" w:eastAsia="Cambria" w:hAnsiTheme="minorHAnsi" w:cs="Cambria"/>
              </w:rPr>
              <w:t>–</w:t>
            </w:r>
            <w:r w:rsidRPr="00F237EC">
              <w:rPr>
                <w:rFonts w:asciiTheme="minorHAnsi" w:eastAsia="Cambria" w:hAnsiTheme="minorHAnsi" w:cs="Cambria"/>
              </w:rPr>
              <w:t>138)</w:t>
            </w:r>
          </w:p>
        </w:tc>
        <w:tc>
          <w:tcPr>
            <w:tcW w:w="6249" w:type="dxa"/>
            <w:shd w:val="clear" w:color="auto" w:fill="FFFFFF"/>
            <w:tcMar>
              <w:top w:w="100" w:type="dxa"/>
              <w:left w:w="115" w:type="dxa"/>
              <w:bottom w:w="100" w:type="dxa"/>
              <w:right w:w="115" w:type="dxa"/>
            </w:tcMar>
          </w:tcPr>
          <w:p w:rsidR="000466FE" w:rsidRDefault="000466FE" w:rsidP="00AC075B">
            <w:pPr>
              <w:pStyle w:val="TableText"/>
            </w:pPr>
            <w:r w:rsidRPr="00F237EC">
              <w:rPr>
                <w:rFonts w:asciiTheme="minorHAnsi" w:hAnsiTheme="minorHAnsi"/>
              </w:rPr>
              <w:t>Students continue their exploration of Jing-</w:t>
            </w:r>
            <w:r w:rsidR="00B251A0">
              <w:rPr>
                <w:rFonts w:asciiTheme="minorHAnsi" w:hAnsiTheme="minorHAnsi"/>
              </w:rPr>
              <w:t>m</w:t>
            </w:r>
            <w:r w:rsidR="003004A3" w:rsidRPr="00F237EC">
              <w:rPr>
                <w:rFonts w:asciiTheme="minorHAnsi" w:hAnsiTheme="minorHAnsi"/>
              </w:rPr>
              <w:t xml:space="preserve">ei’s </w:t>
            </w:r>
            <w:r w:rsidRPr="00F237EC">
              <w:rPr>
                <w:rFonts w:asciiTheme="minorHAnsi" w:hAnsiTheme="minorHAnsi"/>
              </w:rPr>
              <w:t>interactions with other characters, with an emphasis on how these interactions reveal the interwoven thematic threads of “Two Kinds,” with a focus on storytelling as an integral mode of interaction between the characters of Tan’s text.</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7</w:t>
            </w:r>
          </w:p>
        </w:tc>
        <w:tc>
          <w:tcPr>
            <w:tcW w:w="2309" w:type="dxa"/>
            <w:shd w:val="clear" w:color="auto" w:fill="FFFFFF"/>
            <w:tcMar>
              <w:top w:w="100" w:type="dxa"/>
              <w:left w:w="115" w:type="dxa"/>
              <w:bottom w:w="100" w:type="dxa"/>
              <w:right w:w="115" w:type="dxa"/>
            </w:tcMar>
          </w:tcPr>
          <w:p w:rsidR="000466FE" w:rsidRPr="000466FE" w:rsidRDefault="000466FE" w:rsidP="006B69CE">
            <w:r w:rsidRPr="000466FE">
              <w:t>“Two Kinds”: “When my turn came” through “a small brown leaf, thin, brittle, lifeless” (pp. 139</w:t>
            </w:r>
            <w:r w:rsidR="006B69CE">
              <w:t>–</w:t>
            </w:r>
            <w:r w:rsidRPr="000466FE">
              <w:t>142)</w:t>
            </w:r>
          </w:p>
        </w:tc>
        <w:tc>
          <w:tcPr>
            <w:tcW w:w="6249" w:type="dxa"/>
            <w:shd w:val="clear" w:color="auto" w:fill="FFFFFF"/>
            <w:tcMar>
              <w:top w:w="100" w:type="dxa"/>
              <w:left w:w="115" w:type="dxa"/>
              <w:bottom w:w="100" w:type="dxa"/>
              <w:right w:w="115" w:type="dxa"/>
            </w:tcMar>
          </w:tcPr>
          <w:p w:rsidR="000466FE" w:rsidRPr="00F237EC" w:rsidRDefault="000466FE" w:rsidP="006B69CE">
            <w:pPr>
              <w:rPr>
                <w:rFonts w:asciiTheme="minorHAnsi" w:hAnsiTheme="minorHAnsi"/>
              </w:rPr>
            </w:pPr>
            <w:r w:rsidRPr="00F237EC">
              <w:rPr>
                <w:rFonts w:asciiTheme="minorHAnsi" w:hAnsiTheme="minorHAnsi"/>
              </w:rPr>
              <w:t>Students analyze the events in this excerpt, with an emphasis on understanding these events as a turning point in Jing-</w:t>
            </w:r>
            <w:r w:rsidR="006B69CE">
              <w:rPr>
                <w:rFonts w:asciiTheme="minorHAnsi" w:hAnsiTheme="minorHAnsi"/>
              </w:rPr>
              <w:t>m</w:t>
            </w:r>
            <w:r w:rsidR="003004A3" w:rsidRPr="00F237EC">
              <w:rPr>
                <w:rFonts w:asciiTheme="minorHAnsi" w:hAnsiTheme="minorHAnsi"/>
              </w:rPr>
              <w:t xml:space="preserve">ei’s </w:t>
            </w:r>
            <w:r w:rsidRPr="00F237EC">
              <w:rPr>
                <w:rFonts w:asciiTheme="minorHAnsi" w:hAnsiTheme="minorHAnsi"/>
              </w:rPr>
              <w:t>relationship with her mother and the corresponding shift in Jing-</w:t>
            </w:r>
            <w:r w:rsidR="006B69CE">
              <w:rPr>
                <w:rFonts w:asciiTheme="minorHAnsi" w:hAnsiTheme="minorHAnsi"/>
              </w:rPr>
              <w:t>m</w:t>
            </w:r>
            <w:r w:rsidR="003004A3" w:rsidRPr="00F237EC">
              <w:rPr>
                <w:rFonts w:asciiTheme="minorHAnsi" w:hAnsiTheme="minorHAnsi"/>
              </w:rPr>
              <w:t xml:space="preserve">ei’s </w:t>
            </w:r>
            <w:r w:rsidRPr="00F237EC">
              <w:rPr>
                <w:rFonts w:asciiTheme="minorHAnsi" w:hAnsiTheme="minorHAnsi"/>
              </w:rPr>
              <w:t xml:space="preserve">understanding of herself. </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8</w:t>
            </w:r>
          </w:p>
        </w:tc>
        <w:tc>
          <w:tcPr>
            <w:tcW w:w="2309" w:type="dxa"/>
            <w:shd w:val="clear" w:color="auto" w:fill="FFFFFF"/>
            <w:tcMar>
              <w:top w:w="100" w:type="dxa"/>
              <w:left w:w="115" w:type="dxa"/>
              <w:bottom w:w="100" w:type="dxa"/>
              <w:right w:w="115" w:type="dxa"/>
            </w:tcMar>
          </w:tcPr>
          <w:p w:rsidR="000466FE" w:rsidRPr="00F237EC" w:rsidRDefault="000466FE" w:rsidP="00927220">
            <w:pPr>
              <w:rPr>
                <w:rFonts w:asciiTheme="minorHAnsi" w:hAnsiTheme="minorHAnsi"/>
              </w:rPr>
            </w:pPr>
            <w:r w:rsidRPr="00F237EC">
              <w:rPr>
                <w:rFonts w:asciiTheme="minorHAnsi" w:eastAsia="Cambria" w:hAnsiTheme="minorHAnsi" w:cs="Cambria"/>
              </w:rPr>
              <w:t>“Two Kinds”: “It was not the only disappointment” through “I realized they were two halves of the same song” (pp. 142</w:t>
            </w:r>
            <w:r w:rsidR="00927220">
              <w:rPr>
                <w:rFonts w:asciiTheme="minorHAnsi" w:eastAsia="Cambria" w:hAnsiTheme="minorHAnsi" w:cs="Cambria"/>
              </w:rPr>
              <w:t>–</w:t>
            </w:r>
            <w:r w:rsidRPr="00F237EC">
              <w:rPr>
                <w:rFonts w:asciiTheme="minorHAnsi" w:eastAsia="Cambria" w:hAnsiTheme="minorHAnsi" w:cs="Cambria"/>
              </w:rPr>
              <w:t>144)</w:t>
            </w:r>
          </w:p>
        </w:tc>
        <w:tc>
          <w:tcPr>
            <w:tcW w:w="6249" w:type="dxa"/>
            <w:shd w:val="clear" w:color="auto" w:fill="FFFFFF"/>
            <w:tcMar>
              <w:top w:w="100" w:type="dxa"/>
              <w:left w:w="115" w:type="dxa"/>
              <w:bottom w:w="100" w:type="dxa"/>
              <w:right w:w="115" w:type="dxa"/>
            </w:tcMar>
          </w:tcPr>
          <w:p w:rsidR="000466FE" w:rsidRPr="00F237EC" w:rsidRDefault="000466FE" w:rsidP="00927220">
            <w:pPr>
              <w:rPr>
                <w:rFonts w:asciiTheme="minorHAnsi" w:hAnsiTheme="minorHAnsi"/>
              </w:rPr>
            </w:pPr>
            <w:r w:rsidRPr="00F237EC">
              <w:rPr>
                <w:rFonts w:asciiTheme="minorHAnsi" w:hAnsiTheme="minorHAnsi"/>
              </w:rPr>
              <w:t>Students work towards a cumulative understanding of how Jing</w:t>
            </w:r>
            <w:r w:rsidR="00927220">
              <w:rPr>
                <w:rFonts w:asciiTheme="minorHAnsi" w:hAnsiTheme="minorHAnsi"/>
              </w:rPr>
              <w:t>-m</w:t>
            </w:r>
            <w:r w:rsidRPr="00F237EC">
              <w:rPr>
                <w:rFonts w:asciiTheme="minorHAnsi" w:hAnsiTheme="minorHAnsi"/>
              </w:rPr>
              <w:t xml:space="preserve">ei's character develops throughout “Two Kinds,” as they connect their analysis of this close-reading passage to key details from the chapter as a whole. </w:t>
            </w:r>
            <w:r w:rsidRPr="00F237EC">
              <w:rPr>
                <w:rFonts w:asciiTheme="minorHAnsi" w:eastAsia="Cambria" w:hAnsiTheme="minorHAnsi" w:cs="Cambria"/>
              </w:rPr>
              <w:t>Students make connections between Jing-</w:t>
            </w:r>
            <w:r w:rsidR="00927220">
              <w:rPr>
                <w:rFonts w:asciiTheme="minorHAnsi" w:eastAsia="Cambria" w:hAnsiTheme="minorHAnsi" w:cs="Cambria"/>
              </w:rPr>
              <w:t>m</w:t>
            </w:r>
            <w:r w:rsidR="003004A3" w:rsidRPr="00F237EC">
              <w:rPr>
                <w:rFonts w:asciiTheme="minorHAnsi" w:eastAsia="Cambria" w:hAnsiTheme="minorHAnsi" w:cs="Cambria"/>
              </w:rPr>
              <w:t xml:space="preserve">ei’s </w:t>
            </w:r>
            <w:r w:rsidRPr="00F237EC">
              <w:rPr>
                <w:rFonts w:asciiTheme="minorHAnsi" w:eastAsia="Cambria" w:hAnsiTheme="minorHAnsi" w:cs="Cambria"/>
              </w:rPr>
              <w:t>initial response to her mother’s expectations, and the relationship between these childhood interactions and Jing-</w:t>
            </w:r>
            <w:r w:rsidR="00927220">
              <w:rPr>
                <w:rFonts w:asciiTheme="minorHAnsi" w:eastAsia="Cambria" w:hAnsiTheme="minorHAnsi" w:cs="Cambria"/>
              </w:rPr>
              <w:t>m</w:t>
            </w:r>
            <w:r w:rsidR="003004A3" w:rsidRPr="00F237EC">
              <w:rPr>
                <w:rFonts w:asciiTheme="minorHAnsi" w:eastAsia="Cambria" w:hAnsiTheme="minorHAnsi" w:cs="Cambria"/>
              </w:rPr>
              <w:t xml:space="preserve">ei’s </w:t>
            </w:r>
            <w:r w:rsidRPr="00F237EC">
              <w:rPr>
                <w:rFonts w:asciiTheme="minorHAnsi" w:eastAsia="Cambria" w:hAnsiTheme="minorHAnsi" w:cs="Cambria"/>
              </w:rPr>
              <w:t xml:space="preserve">adult sense of self. </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9</w:t>
            </w:r>
          </w:p>
        </w:tc>
        <w:tc>
          <w:tcPr>
            <w:tcW w:w="2309" w:type="dxa"/>
            <w:shd w:val="clear" w:color="auto" w:fill="FFFFFF"/>
            <w:tcMar>
              <w:top w:w="100" w:type="dxa"/>
              <w:left w:w="115" w:type="dxa"/>
              <w:bottom w:w="100" w:type="dxa"/>
              <w:right w:w="115" w:type="dxa"/>
            </w:tcMar>
          </w:tcPr>
          <w:p w:rsidR="000466FE" w:rsidRPr="00F237EC" w:rsidRDefault="000466FE" w:rsidP="00C379AA">
            <w:pPr>
              <w:rPr>
                <w:rFonts w:asciiTheme="minorHAnsi" w:hAnsiTheme="minorHAnsi"/>
              </w:rPr>
            </w:pPr>
            <w:r w:rsidRPr="00F237EC">
              <w:rPr>
                <w:rFonts w:asciiTheme="minorHAnsi" w:hAnsiTheme="minorHAnsi"/>
              </w:rPr>
              <w:t>“Two Kinds” full chapter (pp. 132</w:t>
            </w:r>
            <w:r w:rsidR="00C379AA">
              <w:rPr>
                <w:rFonts w:asciiTheme="minorHAnsi" w:hAnsiTheme="minorHAnsi"/>
              </w:rPr>
              <w:t>–</w:t>
            </w:r>
            <w:r w:rsidRPr="00F237EC">
              <w:rPr>
                <w:rFonts w:asciiTheme="minorHAnsi" w:hAnsiTheme="minorHAnsi"/>
              </w:rPr>
              <w:t>144)</w:t>
            </w:r>
          </w:p>
        </w:tc>
        <w:tc>
          <w:tcPr>
            <w:tcW w:w="6249" w:type="dxa"/>
            <w:shd w:val="clear" w:color="auto" w:fill="FFFFFF"/>
            <w:tcMar>
              <w:top w:w="100" w:type="dxa"/>
              <w:left w:w="115" w:type="dxa"/>
              <w:bottom w:w="100" w:type="dxa"/>
              <w:right w:w="115" w:type="dxa"/>
            </w:tcMar>
          </w:tcPr>
          <w:p w:rsidR="000466FE" w:rsidRPr="00F237EC" w:rsidRDefault="000466FE" w:rsidP="00C379AA">
            <w:pPr>
              <w:rPr>
                <w:rFonts w:asciiTheme="minorHAnsi" w:hAnsiTheme="minorHAnsi"/>
              </w:rPr>
            </w:pPr>
            <w:r w:rsidRPr="00F237EC">
              <w:rPr>
                <w:rFonts w:asciiTheme="minorHAnsi" w:hAnsiTheme="minorHAnsi"/>
              </w:rPr>
              <w:t>Mid</w:t>
            </w:r>
            <w:r w:rsidR="00C379AA">
              <w:rPr>
                <w:rFonts w:asciiTheme="minorHAnsi" w:hAnsiTheme="minorHAnsi"/>
              </w:rPr>
              <w:t>-</w:t>
            </w:r>
            <w:r w:rsidRPr="00F237EC">
              <w:rPr>
                <w:rFonts w:asciiTheme="minorHAnsi" w:hAnsiTheme="minorHAnsi"/>
              </w:rPr>
              <w:t>Unit Assessment</w:t>
            </w:r>
            <w:r w:rsidR="00C379AA">
              <w:rPr>
                <w:rFonts w:asciiTheme="minorHAnsi" w:hAnsiTheme="minorHAnsi"/>
              </w:rPr>
              <w:t>:</w:t>
            </w:r>
            <w:r w:rsidR="00C379AA" w:rsidRPr="00F237EC">
              <w:rPr>
                <w:rFonts w:asciiTheme="minorHAnsi" w:hAnsiTheme="minorHAnsi"/>
              </w:rPr>
              <w:t xml:space="preserve"> </w:t>
            </w:r>
            <w:r w:rsidRPr="00F237EC">
              <w:rPr>
                <w:rFonts w:asciiTheme="minorHAnsi" w:hAnsiTheme="minorHAnsi"/>
              </w:rPr>
              <w:t>Students prepare and present an analysis of how Amy Tan develops and refines a central idea in the chapter “Two Kinds.” Students work in small groups to collaboratively craft a presentation in response to the following prompt:</w:t>
            </w:r>
            <w:r w:rsidRPr="00F237EC">
              <w:rPr>
                <w:rFonts w:asciiTheme="minorHAnsi" w:hAnsiTheme="minorHAnsi"/>
                <w:b/>
              </w:rPr>
              <w:t xml:space="preserve"> </w:t>
            </w:r>
            <w:r w:rsidRPr="00F237EC">
              <w:rPr>
                <w:rFonts w:asciiTheme="minorHAnsi" w:hAnsiTheme="minorHAnsi"/>
              </w:rPr>
              <w:t xml:space="preserve">How does Tan develop a central idea in “Two Kinds”? Students </w:t>
            </w:r>
            <w:r w:rsidR="00C379AA">
              <w:rPr>
                <w:rFonts w:asciiTheme="minorHAnsi" w:hAnsiTheme="minorHAnsi"/>
              </w:rPr>
              <w:t>are</w:t>
            </w:r>
            <w:r w:rsidRPr="00F237EC">
              <w:rPr>
                <w:rFonts w:asciiTheme="minorHAnsi" w:hAnsiTheme="minorHAnsi"/>
              </w:rPr>
              <w:t xml:space="preserve"> assessed on the presentation of their findings, as well as an accompanying brief written response on the Presentation Preparation Tool. </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10</w:t>
            </w:r>
          </w:p>
        </w:tc>
        <w:tc>
          <w:tcPr>
            <w:tcW w:w="2309" w:type="dxa"/>
            <w:shd w:val="clear" w:color="auto" w:fill="FFFFFF"/>
            <w:tcMar>
              <w:top w:w="100" w:type="dxa"/>
              <w:left w:w="115" w:type="dxa"/>
              <w:bottom w:w="100" w:type="dxa"/>
              <w:right w:w="115" w:type="dxa"/>
            </w:tcMar>
          </w:tcPr>
          <w:p w:rsidR="000466FE" w:rsidRPr="00F237EC" w:rsidRDefault="000466FE" w:rsidP="00FF5864">
            <w:pPr>
              <w:rPr>
                <w:rFonts w:asciiTheme="minorHAnsi" w:hAnsiTheme="minorHAnsi"/>
              </w:rPr>
            </w:pPr>
            <w:r w:rsidRPr="00F237EC">
              <w:rPr>
                <w:rFonts w:asciiTheme="minorHAnsi" w:hAnsiTheme="minorHAnsi"/>
              </w:rPr>
              <w:t xml:space="preserve">“Dreaming of Heroes”: “When his father gazed” through “truly wonderful to happen </w:t>
            </w:r>
            <w:r w:rsidRPr="00F237EC">
              <w:rPr>
                <w:rFonts w:asciiTheme="minorHAnsi" w:hAnsiTheme="minorHAnsi"/>
              </w:rPr>
              <w:lastRenderedPageBreak/>
              <w:t>to him” (pp. 73</w:t>
            </w:r>
            <w:r w:rsidR="00FF5864">
              <w:rPr>
                <w:rFonts w:asciiTheme="minorHAnsi" w:hAnsiTheme="minorHAnsi"/>
              </w:rPr>
              <w:t>–</w:t>
            </w:r>
            <w:r w:rsidRPr="00F237EC">
              <w:rPr>
                <w:rFonts w:asciiTheme="minorHAnsi" w:hAnsiTheme="minorHAnsi"/>
              </w:rPr>
              <w:t>76)</w:t>
            </w:r>
          </w:p>
        </w:tc>
        <w:tc>
          <w:tcPr>
            <w:tcW w:w="6249" w:type="dxa"/>
            <w:shd w:val="clear" w:color="auto" w:fill="FFFFFF"/>
            <w:tcMar>
              <w:top w:w="100" w:type="dxa"/>
              <w:left w:w="115" w:type="dxa"/>
              <w:bottom w:w="100" w:type="dxa"/>
              <w:right w:w="115" w:type="dxa"/>
            </w:tcMar>
          </w:tcPr>
          <w:p w:rsidR="000466FE" w:rsidRPr="00F237EC" w:rsidRDefault="000466FE" w:rsidP="00FF5864">
            <w:pPr>
              <w:rPr>
                <w:rFonts w:asciiTheme="minorHAnsi" w:hAnsiTheme="minorHAnsi"/>
              </w:rPr>
            </w:pPr>
            <w:r w:rsidRPr="00F237EC">
              <w:rPr>
                <w:rFonts w:asciiTheme="minorHAnsi" w:hAnsiTheme="minorHAnsi"/>
              </w:rPr>
              <w:lastRenderedPageBreak/>
              <w:t xml:space="preserve">Students begin their exploration of H.G. Bissinger’s </w:t>
            </w:r>
            <w:r w:rsidRPr="00F237EC">
              <w:rPr>
                <w:rFonts w:asciiTheme="minorHAnsi" w:hAnsiTheme="minorHAnsi"/>
                <w:i/>
              </w:rPr>
              <w:t>Friday Night Lights</w:t>
            </w:r>
            <w:r w:rsidRPr="00F237EC">
              <w:rPr>
                <w:rFonts w:asciiTheme="minorHAnsi" w:hAnsiTheme="minorHAnsi"/>
              </w:rPr>
              <w:t xml:space="preserve">. Students consider key details in the text in order to explore how H.G. Bissinger begins to develop a portrait of Mike Winchell, with a focus on how Bissinger constructs Mike's relationship </w:t>
            </w:r>
            <w:r w:rsidR="00FF5864">
              <w:rPr>
                <w:rFonts w:asciiTheme="minorHAnsi" w:hAnsiTheme="minorHAnsi"/>
              </w:rPr>
              <w:t>with</w:t>
            </w:r>
            <w:r w:rsidR="00FF5864" w:rsidRPr="00F237EC">
              <w:rPr>
                <w:rFonts w:asciiTheme="minorHAnsi" w:hAnsiTheme="minorHAnsi"/>
              </w:rPr>
              <w:t xml:space="preserve"> </w:t>
            </w:r>
            <w:r w:rsidRPr="00F237EC">
              <w:rPr>
                <w:rFonts w:asciiTheme="minorHAnsi" w:hAnsiTheme="minorHAnsi"/>
              </w:rPr>
              <w:lastRenderedPageBreak/>
              <w:t>his father</w:t>
            </w:r>
            <w:r w:rsidR="00FF5864">
              <w:rPr>
                <w:rFonts w:asciiTheme="minorHAnsi" w:hAnsiTheme="minorHAnsi"/>
              </w:rPr>
              <w:t>,</w:t>
            </w:r>
            <w:r w:rsidRPr="00F237EC">
              <w:rPr>
                <w:rFonts w:asciiTheme="minorHAnsi" w:hAnsiTheme="minorHAnsi"/>
              </w:rPr>
              <w:t xml:space="preserve"> Billy, as well as the community of Odessa, and how these relationships influence Mike’s self-perception as a man and as an athlete.</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lastRenderedPageBreak/>
              <w:t>11</w:t>
            </w:r>
          </w:p>
        </w:tc>
        <w:tc>
          <w:tcPr>
            <w:tcW w:w="2309" w:type="dxa"/>
            <w:shd w:val="clear" w:color="auto" w:fill="FFFFFF"/>
            <w:tcMar>
              <w:top w:w="100" w:type="dxa"/>
              <w:left w:w="115" w:type="dxa"/>
              <w:bottom w:w="100" w:type="dxa"/>
              <w:right w:w="115" w:type="dxa"/>
            </w:tcMar>
          </w:tcPr>
          <w:p w:rsidR="000466FE" w:rsidRPr="00F237EC" w:rsidRDefault="000466FE" w:rsidP="007F2677">
            <w:pPr>
              <w:rPr>
                <w:rFonts w:asciiTheme="minorHAnsi" w:hAnsiTheme="minorHAnsi"/>
              </w:rPr>
            </w:pPr>
            <w:r w:rsidRPr="00F237EC">
              <w:rPr>
                <w:rFonts w:asciiTheme="minorHAnsi" w:hAnsiTheme="minorHAnsi"/>
              </w:rPr>
              <w:t>“Dreaming of Heroes”: “</w:t>
            </w:r>
            <w:r w:rsidR="007F2677">
              <w:rPr>
                <w:rFonts w:asciiTheme="minorHAnsi" w:hAnsiTheme="minorHAnsi"/>
              </w:rPr>
              <w:t>H</w:t>
            </w:r>
            <w:r w:rsidRPr="00F237EC">
              <w:rPr>
                <w:rFonts w:asciiTheme="minorHAnsi" w:hAnsiTheme="minorHAnsi"/>
              </w:rPr>
              <w:t>e didn’t dwell much” through “see his own reflection” (pp. 77</w:t>
            </w:r>
            <w:r w:rsidR="007F2677">
              <w:rPr>
                <w:rFonts w:asciiTheme="minorHAnsi" w:hAnsiTheme="minorHAnsi"/>
              </w:rPr>
              <w:t>–</w:t>
            </w:r>
            <w:r w:rsidRPr="00F237EC">
              <w:rPr>
                <w:rFonts w:asciiTheme="minorHAnsi" w:hAnsiTheme="minorHAnsi"/>
              </w:rPr>
              <w:t xml:space="preserve">79) </w:t>
            </w:r>
          </w:p>
        </w:tc>
        <w:tc>
          <w:tcPr>
            <w:tcW w:w="6249" w:type="dxa"/>
            <w:shd w:val="clear" w:color="auto" w:fill="FFFFFF"/>
            <w:tcMar>
              <w:top w:w="100" w:type="dxa"/>
              <w:left w:w="115" w:type="dxa"/>
              <w:bottom w:w="100" w:type="dxa"/>
              <w:right w:w="115" w:type="dxa"/>
            </w:tcMar>
          </w:tcPr>
          <w:p w:rsidR="000466FE" w:rsidRPr="00F237EC" w:rsidRDefault="000466FE" w:rsidP="007F2677">
            <w:pPr>
              <w:rPr>
                <w:rFonts w:asciiTheme="minorHAnsi" w:hAnsiTheme="minorHAnsi"/>
              </w:rPr>
            </w:pPr>
            <w:r w:rsidRPr="00F237EC">
              <w:rPr>
                <w:rFonts w:asciiTheme="minorHAnsi" w:hAnsiTheme="minorHAnsi"/>
                <w:highlight w:val="white"/>
              </w:rPr>
              <w:t xml:space="preserve">Students complete a series of activities that encourage </w:t>
            </w:r>
            <w:r w:rsidR="007F2677">
              <w:rPr>
                <w:rFonts w:asciiTheme="minorHAnsi" w:hAnsiTheme="minorHAnsi"/>
                <w:highlight w:val="white"/>
              </w:rPr>
              <w:t>them</w:t>
            </w:r>
            <w:r w:rsidR="007F2677" w:rsidRPr="00F237EC">
              <w:rPr>
                <w:rFonts w:asciiTheme="minorHAnsi" w:hAnsiTheme="minorHAnsi"/>
                <w:highlight w:val="white"/>
              </w:rPr>
              <w:t xml:space="preserve"> </w:t>
            </w:r>
            <w:r w:rsidRPr="00F237EC">
              <w:rPr>
                <w:rFonts w:asciiTheme="minorHAnsi" w:hAnsiTheme="minorHAnsi"/>
                <w:highlight w:val="white"/>
              </w:rPr>
              <w:t xml:space="preserve">to think critically about H.G. Bissinger’s point of view and purpose as author/narrator. Students consider how Bissinger unfolds his portrait of Odessa, the residents of that community, and the events of the year he is recounting. Students continue </w:t>
            </w:r>
            <w:r w:rsidR="00902363">
              <w:rPr>
                <w:rFonts w:asciiTheme="minorHAnsi" w:hAnsiTheme="minorHAnsi"/>
                <w:highlight w:val="white"/>
              </w:rPr>
              <w:t xml:space="preserve">their </w:t>
            </w:r>
            <w:r w:rsidRPr="00F237EC">
              <w:rPr>
                <w:rFonts w:asciiTheme="minorHAnsi" w:hAnsiTheme="minorHAnsi"/>
                <w:highlight w:val="white"/>
              </w:rPr>
              <w:t>analysis of the relationship between the Permian Panthers and the town of Odessa.</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12</w:t>
            </w:r>
          </w:p>
        </w:tc>
        <w:tc>
          <w:tcPr>
            <w:tcW w:w="2309" w:type="dxa"/>
            <w:shd w:val="clear" w:color="auto" w:fill="FFFFFF"/>
            <w:tcMar>
              <w:top w:w="100" w:type="dxa"/>
              <w:left w:w="115" w:type="dxa"/>
              <w:bottom w:w="100" w:type="dxa"/>
              <w:right w:w="115" w:type="dxa"/>
            </w:tcMar>
          </w:tcPr>
          <w:p w:rsidR="000466FE" w:rsidRPr="00F237EC" w:rsidRDefault="000466FE" w:rsidP="00672572">
            <w:pPr>
              <w:rPr>
                <w:rFonts w:asciiTheme="minorHAnsi" w:hAnsiTheme="minorHAnsi"/>
              </w:rPr>
            </w:pPr>
            <w:r w:rsidRPr="00F237EC">
              <w:rPr>
                <w:rFonts w:asciiTheme="minorHAnsi" w:hAnsiTheme="minorHAnsi"/>
              </w:rPr>
              <w:t>“Dreaming of Heroes”: “there were some kids” through “as long as the season lasted” (pp. 79</w:t>
            </w:r>
            <w:r w:rsidR="00672572">
              <w:rPr>
                <w:rFonts w:asciiTheme="minorHAnsi" w:hAnsiTheme="minorHAnsi"/>
              </w:rPr>
              <w:t>–</w:t>
            </w:r>
            <w:r w:rsidRPr="00F237EC">
              <w:rPr>
                <w:rFonts w:asciiTheme="minorHAnsi" w:hAnsiTheme="minorHAnsi"/>
              </w:rPr>
              <w:t xml:space="preserve">84) </w:t>
            </w:r>
          </w:p>
        </w:tc>
        <w:tc>
          <w:tcPr>
            <w:tcW w:w="6249" w:type="dxa"/>
            <w:shd w:val="clear" w:color="auto" w:fill="FFFFFF"/>
            <w:tcMar>
              <w:top w:w="100" w:type="dxa"/>
              <w:left w:w="115" w:type="dxa"/>
              <w:bottom w:w="100" w:type="dxa"/>
              <w:right w:w="115" w:type="dxa"/>
            </w:tcMar>
          </w:tcPr>
          <w:p w:rsidR="000466FE" w:rsidRPr="00F237EC" w:rsidRDefault="000466FE" w:rsidP="000466FE">
            <w:pPr>
              <w:rPr>
                <w:rFonts w:asciiTheme="minorHAnsi" w:hAnsiTheme="minorHAnsi"/>
              </w:rPr>
            </w:pPr>
            <w:r w:rsidRPr="00F237EC">
              <w:rPr>
                <w:rFonts w:asciiTheme="minorHAnsi" w:hAnsiTheme="minorHAnsi"/>
              </w:rPr>
              <w:t>Student analysis explore</w:t>
            </w:r>
            <w:r w:rsidR="00302D41">
              <w:rPr>
                <w:rFonts w:asciiTheme="minorHAnsi" w:hAnsiTheme="minorHAnsi"/>
              </w:rPr>
              <w:t>s</w:t>
            </w:r>
            <w:r w:rsidRPr="00F237EC">
              <w:rPr>
                <w:rFonts w:asciiTheme="minorHAnsi" w:hAnsiTheme="minorHAnsi"/>
              </w:rPr>
              <w:t xml:space="preserve"> the social factors at work beneath the surface of Permian football and how memory and time function within this community</w:t>
            </w:r>
            <w:r w:rsidR="00302D41">
              <w:rPr>
                <w:rFonts w:asciiTheme="minorHAnsi" w:hAnsiTheme="minorHAnsi"/>
              </w:rPr>
              <w:t>,</w:t>
            </w:r>
            <w:r w:rsidRPr="00F237EC">
              <w:rPr>
                <w:rFonts w:asciiTheme="minorHAnsi" w:hAnsiTheme="minorHAnsi"/>
              </w:rPr>
              <w:t xml:space="preserve"> as revealed by key details in Bissinger’s descriptions of the father/son narrative of Don and Charlie Billingsley, a parallel relationship to that of Mike and Billy Winchell.</w:t>
            </w:r>
          </w:p>
          <w:p w:rsidR="000466FE" w:rsidRPr="00F237EC" w:rsidRDefault="000466FE" w:rsidP="00302D41">
            <w:pPr>
              <w:rPr>
                <w:rFonts w:asciiTheme="minorHAnsi" w:hAnsiTheme="minorHAnsi"/>
              </w:rPr>
            </w:pPr>
            <w:r w:rsidRPr="00F237EC">
              <w:rPr>
                <w:rFonts w:asciiTheme="minorHAnsi" w:hAnsiTheme="minorHAnsi"/>
              </w:rPr>
              <w:t xml:space="preserve">This lesson provides </w:t>
            </w:r>
            <w:r w:rsidR="00902363">
              <w:rPr>
                <w:rFonts w:asciiTheme="minorHAnsi" w:hAnsiTheme="minorHAnsi"/>
              </w:rPr>
              <w:t xml:space="preserve">an </w:t>
            </w:r>
            <w:r w:rsidRPr="00F237EC">
              <w:rPr>
                <w:rFonts w:asciiTheme="minorHAnsi" w:hAnsiTheme="minorHAnsi"/>
              </w:rPr>
              <w:t>opportunity for students to have constructive, respectful, and academically focused conversations around issues of class and race</w:t>
            </w:r>
            <w:r w:rsidR="00302D41">
              <w:rPr>
                <w:rFonts w:asciiTheme="minorHAnsi" w:hAnsiTheme="minorHAnsi"/>
              </w:rPr>
              <w:t>,</w:t>
            </w:r>
            <w:r w:rsidRPr="00F237EC">
              <w:rPr>
                <w:rFonts w:asciiTheme="minorHAnsi" w:hAnsiTheme="minorHAnsi"/>
              </w:rPr>
              <w:t xml:space="preserve"> topics </w:t>
            </w:r>
            <w:r w:rsidR="00302D41">
              <w:rPr>
                <w:rFonts w:asciiTheme="minorHAnsi" w:hAnsiTheme="minorHAnsi"/>
              </w:rPr>
              <w:t>that</w:t>
            </w:r>
            <w:r w:rsidR="00302D41" w:rsidRPr="00F237EC">
              <w:rPr>
                <w:rFonts w:asciiTheme="minorHAnsi" w:hAnsiTheme="minorHAnsi"/>
              </w:rPr>
              <w:t xml:space="preserve"> </w:t>
            </w:r>
            <w:r w:rsidRPr="00F237EC">
              <w:rPr>
                <w:rFonts w:asciiTheme="minorHAnsi" w:hAnsiTheme="minorHAnsi"/>
              </w:rPr>
              <w:t>are central to Bissinger’s larger ideas in the text (see excerpt rationale in prefatory material).</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13</w:t>
            </w:r>
          </w:p>
        </w:tc>
        <w:tc>
          <w:tcPr>
            <w:tcW w:w="2309" w:type="dxa"/>
            <w:shd w:val="clear" w:color="auto" w:fill="FFFFFF"/>
            <w:tcMar>
              <w:top w:w="100" w:type="dxa"/>
              <w:left w:w="115" w:type="dxa"/>
              <w:bottom w:w="100" w:type="dxa"/>
              <w:right w:w="115" w:type="dxa"/>
            </w:tcMar>
          </w:tcPr>
          <w:p w:rsidR="000466FE" w:rsidRPr="00F237EC" w:rsidRDefault="000466FE" w:rsidP="0006454B">
            <w:pPr>
              <w:rPr>
                <w:rFonts w:asciiTheme="minorHAnsi" w:hAnsiTheme="minorHAnsi"/>
              </w:rPr>
            </w:pPr>
            <w:r w:rsidRPr="00F237EC">
              <w:rPr>
                <w:rFonts w:asciiTheme="minorHAnsi" w:hAnsiTheme="minorHAnsi"/>
              </w:rPr>
              <w:t>“Dreaming of Heroes”: “With all those eyes focused on him” through “the answer became obvious” (pp. 84</w:t>
            </w:r>
            <w:r w:rsidR="0006454B">
              <w:rPr>
                <w:rFonts w:asciiTheme="minorHAnsi" w:hAnsiTheme="minorHAnsi"/>
              </w:rPr>
              <w:t>–</w:t>
            </w:r>
            <w:r w:rsidRPr="00F237EC">
              <w:rPr>
                <w:rFonts w:asciiTheme="minorHAnsi" w:hAnsiTheme="minorHAnsi"/>
              </w:rPr>
              <w:t xml:space="preserve">87) </w:t>
            </w:r>
          </w:p>
        </w:tc>
        <w:tc>
          <w:tcPr>
            <w:tcW w:w="6249" w:type="dxa"/>
            <w:shd w:val="clear" w:color="auto" w:fill="FFFFFF"/>
            <w:tcMar>
              <w:top w:w="100" w:type="dxa"/>
              <w:left w:w="115" w:type="dxa"/>
              <w:bottom w:w="100" w:type="dxa"/>
              <w:right w:w="115" w:type="dxa"/>
            </w:tcMar>
          </w:tcPr>
          <w:p w:rsidR="000466FE" w:rsidRPr="00F237EC" w:rsidRDefault="000466FE" w:rsidP="00A21ED8">
            <w:pPr>
              <w:rPr>
                <w:rFonts w:asciiTheme="minorHAnsi" w:hAnsiTheme="minorHAnsi"/>
              </w:rPr>
            </w:pPr>
            <w:r w:rsidRPr="00F237EC">
              <w:rPr>
                <w:rFonts w:asciiTheme="minorHAnsi" w:hAnsiTheme="minorHAnsi"/>
              </w:rPr>
              <w:t>Student</w:t>
            </w:r>
            <w:r w:rsidR="0047245B">
              <w:rPr>
                <w:rFonts w:asciiTheme="minorHAnsi" w:hAnsiTheme="minorHAnsi"/>
              </w:rPr>
              <w:t>s</w:t>
            </w:r>
            <w:r w:rsidRPr="00F237EC">
              <w:rPr>
                <w:rFonts w:asciiTheme="minorHAnsi" w:hAnsiTheme="minorHAnsi"/>
              </w:rPr>
              <w:t xml:space="preserve"> analyze the actions of the key players in the season opener, and how these actions affect how players see themselves, and how they are seen by others. Students consider how H.G. Bissinger structures the actions, reactions, and interactions in the text in order to shape and refine the social pressures and expectations at work in Odessa.</w:t>
            </w:r>
          </w:p>
        </w:tc>
      </w:tr>
      <w:tr w:rsidR="000466FE">
        <w:tc>
          <w:tcPr>
            <w:tcW w:w="892" w:type="dxa"/>
            <w:shd w:val="clear" w:color="auto" w:fill="FFFFFF"/>
            <w:tcMar>
              <w:top w:w="100" w:type="dxa"/>
              <w:left w:w="115" w:type="dxa"/>
              <w:bottom w:w="100" w:type="dxa"/>
              <w:right w:w="115" w:type="dxa"/>
            </w:tcMar>
          </w:tcPr>
          <w:p w:rsidR="000466FE" w:rsidRDefault="000466FE" w:rsidP="000466FE">
            <w:pPr>
              <w:pStyle w:val="NoSpacing"/>
            </w:pPr>
            <w:r w:rsidRPr="00C36707">
              <w:t>14</w:t>
            </w:r>
          </w:p>
        </w:tc>
        <w:tc>
          <w:tcPr>
            <w:tcW w:w="2309" w:type="dxa"/>
            <w:shd w:val="clear" w:color="auto" w:fill="FFFFFF"/>
            <w:tcMar>
              <w:top w:w="100" w:type="dxa"/>
              <w:left w:w="115" w:type="dxa"/>
              <w:bottom w:w="100" w:type="dxa"/>
              <w:right w:w="115" w:type="dxa"/>
            </w:tcMar>
          </w:tcPr>
          <w:p w:rsidR="000466FE" w:rsidRPr="00F237EC" w:rsidRDefault="000466FE" w:rsidP="000466FE">
            <w:pPr>
              <w:rPr>
                <w:rFonts w:asciiTheme="minorHAnsi" w:hAnsiTheme="minorHAnsi"/>
              </w:rPr>
            </w:pPr>
            <w:r w:rsidRPr="00F237EC">
              <w:rPr>
                <w:rFonts w:asciiTheme="minorHAnsi" w:hAnsiTheme="minorHAnsi"/>
              </w:rPr>
              <w:t xml:space="preserve">“Two Kinds” and “Rules of the Game” from </w:t>
            </w:r>
            <w:r w:rsidRPr="003004A3">
              <w:rPr>
                <w:rFonts w:asciiTheme="minorHAnsi" w:hAnsiTheme="minorHAnsi"/>
                <w:i/>
              </w:rPr>
              <w:t>The Joy Luck Club</w:t>
            </w:r>
            <w:r w:rsidRPr="00F237EC">
              <w:rPr>
                <w:rFonts w:asciiTheme="minorHAnsi" w:hAnsiTheme="minorHAnsi"/>
              </w:rPr>
              <w:t xml:space="preserve"> (full chapters); </w:t>
            </w:r>
            <w:r w:rsidRPr="00F237EC">
              <w:rPr>
                <w:rFonts w:asciiTheme="minorHAnsi" w:hAnsiTheme="minorHAnsi"/>
              </w:rPr>
              <w:lastRenderedPageBreak/>
              <w:t xml:space="preserve">“Dreaming of Heroes” from </w:t>
            </w:r>
            <w:r w:rsidR="00314566" w:rsidRPr="00314566">
              <w:rPr>
                <w:rFonts w:asciiTheme="minorHAnsi" w:hAnsiTheme="minorHAnsi"/>
                <w:i/>
              </w:rPr>
              <w:t>Friday Night Lights</w:t>
            </w:r>
            <w:r w:rsidRPr="00F237EC">
              <w:rPr>
                <w:rFonts w:asciiTheme="minorHAnsi" w:hAnsiTheme="minorHAnsi"/>
              </w:rPr>
              <w:t xml:space="preserve"> (full excerpt).</w:t>
            </w:r>
          </w:p>
        </w:tc>
        <w:tc>
          <w:tcPr>
            <w:tcW w:w="6249" w:type="dxa"/>
            <w:shd w:val="clear" w:color="auto" w:fill="FFFFFF"/>
            <w:tcMar>
              <w:top w:w="100" w:type="dxa"/>
              <w:left w:w="115" w:type="dxa"/>
              <w:bottom w:w="100" w:type="dxa"/>
              <w:right w:w="115" w:type="dxa"/>
            </w:tcMar>
          </w:tcPr>
          <w:p w:rsidR="000466FE" w:rsidRPr="00F237EC" w:rsidRDefault="000466FE" w:rsidP="004551C0">
            <w:pPr>
              <w:rPr>
                <w:rFonts w:asciiTheme="minorHAnsi" w:hAnsiTheme="minorHAnsi"/>
              </w:rPr>
            </w:pPr>
            <w:r w:rsidRPr="00F237EC">
              <w:rPr>
                <w:rFonts w:asciiTheme="minorHAnsi" w:hAnsiTheme="minorHAnsi"/>
              </w:rPr>
              <w:lastRenderedPageBreak/>
              <w:t>End</w:t>
            </w:r>
            <w:r w:rsidR="004551C0">
              <w:rPr>
                <w:rFonts w:asciiTheme="minorHAnsi" w:hAnsiTheme="minorHAnsi"/>
              </w:rPr>
              <w:t>-</w:t>
            </w:r>
            <w:r w:rsidRPr="00F237EC">
              <w:rPr>
                <w:rFonts w:asciiTheme="minorHAnsi" w:hAnsiTheme="minorHAnsi"/>
              </w:rPr>
              <w:t>of</w:t>
            </w:r>
            <w:r w:rsidR="004551C0">
              <w:rPr>
                <w:rFonts w:asciiTheme="minorHAnsi" w:hAnsiTheme="minorHAnsi"/>
              </w:rPr>
              <w:t>-</w:t>
            </w:r>
            <w:r w:rsidRPr="00F237EC">
              <w:rPr>
                <w:rFonts w:asciiTheme="minorHAnsi" w:hAnsiTheme="minorHAnsi"/>
              </w:rPr>
              <w:t>Unit Assessment</w:t>
            </w:r>
            <w:r w:rsidR="004551C0">
              <w:rPr>
                <w:rFonts w:asciiTheme="minorHAnsi" w:hAnsiTheme="minorHAnsi"/>
              </w:rPr>
              <w:t>:</w:t>
            </w:r>
            <w:r w:rsidR="004551C0" w:rsidRPr="00F237EC">
              <w:rPr>
                <w:rFonts w:asciiTheme="minorHAnsi" w:hAnsiTheme="minorHAnsi"/>
              </w:rPr>
              <w:t xml:space="preserve"> </w:t>
            </w:r>
            <w:r w:rsidRPr="00F237EC">
              <w:rPr>
                <w:rFonts w:asciiTheme="minorHAnsi" w:hAnsiTheme="minorHAnsi"/>
              </w:rPr>
              <w:t xml:space="preserve">Students demonstrate </w:t>
            </w:r>
            <w:r w:rsidR="0047245B">
              <w:rPr>
                <w:rFonts w:asciiTheme="minorHAnsi" w:hAnsiTheme="minorHAnsi"/>
              </w:rPr>
              <w:t xml:space="preserve">a </w:t>
            </w:r>
            <w:r w:rsidRPr="00F237EC">
              <w:rPr>
                <w:rFonts w:asciiTheme="minorHAnsi" w:hAnsiTheme="minorHAnsi"/>
              </w:rPr>
              <w:t xml:space="preserve">cumulative understanding of Amy Tan’s </w:t>
            </w:r>
            <w:r w:rsidR="00314566" w:rsidRPr="00314566">
              <w:rPr>
                <w:rFonts w:asciiTheme="minorHAnsi" w:hAnsiTheme="minorHAnsi"/>
                <w:i/>
              </w:rPr>
              <w:t>The</w:t>
            </w:r>
            <w:r w:rsidR="004551C0">
              <w:rPr>
                <w:rFonts w:asciiTheme="minorHAnsi" w:hAnsiTheme="minorHAnsi"/>
              </w:rPr>
              <w:t xml:space="preserve"> </w:t>
            </w:r>
            <w:r w:rsidRPr="00F237EC">
              <w:rPr>
                <w:rFonts w:asciiTheme="minorHAnsi" w:hAnsiTheme="minorHAnsi"/>
                <w:i/>
              </w:rPr>
              <w:t>Joy Luck Club</w:t>
            </w:r>
            <w:r w:rsidRPr="00F237EC">
              <w:rPr>
                <w:rFonts w:asciiTheme="minorHAnsi" w:hAnsiTheme="minorHAnsi"/>
              </w:rPr>
              <w:t xml:space="preserve"> and H.G. Bissinger’s</w:t>
            </w:r>
            <w:r w:rsidRPr="00F237EC">
              <w:rPr>
                <w:rFonts w:asciiTheme="minorHAnsi" w:hAnsiTheme="minorHAnsi"/>
                <w:i/>
              </w:rPr>
              <w:t xml:space="preserve"> Friday Night Lights</w:t>
            </w:r>
            <w:r w:rsidRPr="00F237EC">
              <w:rPr>
                <w:rFonts w:asciiTheme="minorHAnsi" w:hAnsiTheme="minorHAnsi"/>
              </w:rPr>
              <w:t xml:space="preserve"> in response to the </w:t>
            </w:r>
            <w:r w:rsidR="004551C0">
              <w:rPr>
                <w:rFonts w:asciiTheme="minorHAnsi" w:hAnsiTheme="minorHAnsi"/>
              </w:rPr>
              <w:t>E</w:t>
            </w:r>
            <w:r w:rsidRPr="00F237EC">
              <w:rPr>
                <w:rFonts w:asciiTheme="minorHAnsi" w:hAnsiTheme="minorHAnsi"/>
              </w:rPr>
              <w:t>nd</w:t>
            </w:r>
            <w:r w:rsidR="004551C0">
              <w:rPr>
                <w:rFonts w:asciiTheme="minorHAnsi" w:hAnsiTheme="minorHAnsi"/>
              </w:rPr>
              <w:t>-</w:t>
            </w:r>
            <w:r w:rsidRPr="00F237EC">
              <w:rPr>
                <w:rFonts w:asciiTheme="minorHAnsi" w:hAnsiTheme="minorHAnsi"/>
              </w:rPr>
              <w:t>of</w:t>
            </w:r>
            <w:r w:rsidR="004551C0">
              <w:rPr>
                <w:rFonts w:asciiTheme="minorHAnsi" w:hAnsiTheme="minorHAnsi"/>
              </w:rPr>
              <w:t>-U</w:t>
            </w:r>
            <w:r w:rsidRPr="00F237EC">
              <w:rPr>
                <w:rFonts w:asciiTheme="minorHAnsi" w:hAnsiTheme="minorHAnsi"/>
              </w:rPr>
              <w:t xml:space="preserve">nit </w:t>
            </w:r>
            <w:r w:rsidR="004551C0">
              <w:rPr>
                <w:rFonts w:asciiTheme="minorHAnsi" w:hAnsiTheme="minorHAnsi"/>
              </w:rPr>
              <w:t>A</w:t>
            </w:r>
            <w:r w:rsidRPr="00F237EC">
              <w:rPr>
                <w:rFonts w:asciiTheme="minorHAnsi" w:hAnsiTheme="minorHAnsi"/>
              </w:rPr>
              <w:t xml:space="preserve">ssessment prompt: Choose either “Rules of the Game” or “Two Kinds” from </w:t>
            </w:r>
            <w:r w:rsidR="004551C0">
              <w:rPr>
                <w:rFonts w:asciiTheme="minorHAnsi" w:hAnsiTheme="minorHAnsi"/>
                <w:i/>
              </w:rPr>
              <w:lastRenderedPageBreak/>
              <w:t xml:space="preserve">The </w:t>
            </w:r>
            <w:r w:rsidRPr="00F237EC">
              <w:rPr>
                <w:rFonts w:asciiTheme="minorHAnsi" w:hAnsiTheme="minorHAnsi"/>
                <w:i/>
              </w:rPr>
              <w:t>Joy Luck Club</w:t>
            </w:r>
            <w:r w:rsidRPr="00F237EC">
              <w:rPr>
                <w:rFonts w:asciiTheme="minorHAnsi" w:hAnsiTheme="minorHAnsi"/>
              </w:rPr>
              <w:t xml:space="preserve">, and compare it to Bissinger’s “Dreaming of Heroes” from </w:t>
            </w:r>
            <w:r w:rsidRPr="00F237EC">
              <w:rPr>
                <w:rFonts w:asciiTheme="minorHAnsi" w:hAnsiTheme="minorHAnsi"/>
                <w:i/>
              </w:rPr>
              <w:t>Friday Night Lights.</w:t>
            </w:r>
            <w:r w:rsidRPr="00F237EC">
              <w:rPr>
                <w:rFonts w:asciiTheme="minorHAnsi" w:hAnsiTheme="minorHAnsi"/>
              </w:rPr>
              <w:t xml:space="preserve"> How do the relationships between children and their parents develop the central ideas of these two texts?</w:t>
            </w:r>
          </w:p>
        </w:tc>
      </w:tr>
    </w:tbl>
    <w:p w:rsidR="001F53B2" w:rsidRDefault="00B15AEC">
      <w:pPr>
        <w:pStyle w:val="Heading1"/>
      </w:pPr>
      <w:r>
        <w:lastRenderedPageBreak/>
        <w:t>Preparation, Materials, and Resources</w:t>
      </w:r>
    </w:p>
    <w:p w:rsidR="001F53B2" w:rsidRDefault="00B15AEC">
      <w:r>
        <w:rPr>
          <w:b/>
        </w:rPr>
        <w:t>Preparation</w:t>
      </w:r>
    </w:p>
    <w:p w:rsidR="000466FE" w:rsidRDefault="000466FE" w:rsidP="000466FE">
      <w:pPr>
        <w:pStyle w:val="BulletedList"/>
      </w:pPr>
      <w:r>
        <w:t xml:space="preserve">Read and annotate “Two Kinds” and “Rules of the Game” from </w:t>
      </w:r>
      <w:r>
        <w:rPr>
          <w:i/>
        </w:rPr>
        <w:t>The Joy Luck Club</w:t>
      </w:r>
      <w:r>
        <w:t xml:space="preserve"> by Amy Tan</w:t>
      </w:r>
      <w:r w:rsidR="0080608F">
        <w:t xml:space="preserve"> and</w:t>
      </w:r>
      <w:r>
        <w:t xml:space="preserve"> “Dreaming of Heroes” (excerpt) from </w:t>
      </w:r>
      <w:r>
        <w:rPr>
          <w:i/>
        </w:rPr>
        <w:t>Friday Night Lights</w:t>
      </w:r>
      <w:r>
        <w:t xml:space="preserve"> by H.</w:t>
      </w:r>
      <w:r w:rsidR="006B406A">
        <w:t xml:space="preserve"> </w:t>
      </w:r>
      <w:r>
        <w:t>G. Bissinger</w:t>
      </w:r>
      <w:r w:rsidR="00077BA7">
        <w:t>.</w:t>
      </w:r>
    </w:p>
    <w:p w:rsidR="000466FE" w:rsidRDefault="000466FE" w:rsidP="000466FE">
      <w:pPr>
        <w:pStyle w:val="BulletedList"/>
      </w:pPr>
      <w:r>
        <w:t>Review the Text Analysis Rubric</w:t>
      </w:r>
      <w:r w:rsidR="006B406A">
        <w:t xml:space="preserve"> and Checklist</w:t>
      </w:r>
      <w:r>
        <w:t>.</w:t>
      </w:r>
    </w:p>
    <w:p w:rsidR="000466FE" w:rsidRDefault="000466FE" w:rsidP="000466FE">
      <w:pPr>
        <w:pStyle w:val="BulletedList"/>
      </w:pPr>
      <w:r>
        <w:t>Review all unit standards and post in classroom.</w:t>
      </w:r>
    </w:p>
    <w:p w:rsidR="000466FE" w:rsidRDefault="000466FE" w:rsidP="000466FE">
      <w:pPr>
        <w:pStyle w:val="BulletedList"/>
      </w:pPr>
      <w:r>
        <w:t>Consider creating a word wall of the vocabulary provided in all lessons.</w:t>
      </w:r>
    </w:p>
    <w:p w:rsidR="001F53B2" w:rsidRDefault="001F53B2"/>
    <w:p w:rsidR="001F53B2" w:rsidRDefault="00B15AEC" w:rsidP="006D6233">
      <w:pPr>
        <w:keepNext/>
      </w:pPr>
      <w:r>
        <w:rPr>
          <w:b/>
        </w:rPr>
        <w:t>Materials/Resources</w:t>
      </w:r>
    </w:p>
    <w:p w:rsidR="000466FE" w:rsidRDefault="000466FE" w:rsidP="006B406A">
      <w:pPr>
        <w:pStyle w:val="BulletedList"/>
      </w:pPr>
      <w:r>
        <w:t>Chart paper</w:t>
      </w:r>
    </w:p>
    <w:p w:rsidR="000466FE" w:rsidRDefault="000466FE" w:rsidP="006B406A">
      <w:pPr>
        <w:pStyle w:val="BulletedList"/>
      </w:pPr>
      <w:r>
        <w:t xml:space="preserve">Copies of the texts “Two Kinds” and “Rules of the Game” from </w:t>
      </w:r>
      <w:r>
        <w:rPr>
          <w:i/>
        </w:rPr>
        <w:t>The Joy Luck Club</w:t>
      </w:r>
      <w:r>
        <w:t xml:space="preserve"> by Amy Tan</w:t>
      </w:r>
      <w:r w:rsidR="0047245B">
        <w:t xml:space="preserve"> and</w:t>
      </w:r>
      <w:r>
        <w:t xml:space="preserve"> “Dreaming of Heroes” (excerpt) from </w:t>
      </w:r>
      <w:r>
        <w:rPr>
          <w:i/>
        </w:rPr>
        <w:t>Friday Night Lights</w:t>
      </w:r>
      <w:r>
        <w:t xml:space="preserve"> by H.</w:t>
      </w:r>
      <w:r w:rsidR="006B406A">
        <w:t xml:space="preserve"> </w:t>
      </w:r>
      <w:r>
        <w:t>G. Bissinger</w:t>
      </w:r>
    </w:p>
    <w:p w:rsidR="000466FE" w:rsidRDefault="000466FE" w:rsidP="006B406A">
      <w:pPr>
        <w:pStyle w:val="BulletedList"/>
      </w:pPr>
      <w:r>
        <w:t>Self-stick notes for students</w:t>
      </w:r>
    </w:p>
    <w:p w:rsidR="000466FE" w:rsidRDefault="000466FE" w:rsidP="006B406A">
      <w:pPr>
        <w:pStyle w:val="BulletedList"/>
      </w:pPr>
      <w:r>
        <w:t>Writing utensils including pencils, pens, markers, and highlighters</w:t>
      </w:r>
    </w:p>
    <w:p w:rsidR="000466FE" w:rsidRDefault="000466FE" w:rsidP="006B406A">
      <w:pPr>
        <w:pStyle w:val="BulletedList"/>
      </w:pPr>
      <w:r>
        <w:t>Methods for collecting student work: student notebooks, folders, etc.</w:t>
      </w:r>
    </w:p>
    <w:p w:rsidR="000466FE" w:rsidRDefault="000466FE" w:rsidP="006B406A">
      <w:pPr>
        <w:pStyle w:val="BulletedList"/>
      </w:pPr>
      <w:r>
        <w:t>Access to technology (if possible): interactive whiteboard, document camera, and LCD projector</w:t>
      </w:r>
    </w:p>
    <w:p w:rsidR="000466FE" w:rsidRDefault="000466FE" w:rsidP="006B406A">
      <w:pPr>
        <w:pStyle w:val="BulletedList"/>
      </w:pPr>
      <w:r>
        <w:t>Copies of handouts and tools for each student: see materials list in individual lesson plans</w:t>
      </w:r>
    </w:p>
    <w:p w:rsidR="000466FE" w:rsidRDefault="000466FE" w:rsidP="006B406A">
      <w:pPr>
        <w:pStyle w:val="BulletedList"/>
      </w:pPr>
      <w:r>
        <w:t>Copies of the 10.1 Common Core Learning Standards To</w:t>
      </w:r>
      <w:bookmarkStart w:id="1" w:name="_GoBack"/>
      <w:bookmarkEnd w:id="1"/>
      <w:r>
        <w:t>ol</w:t>
      </w:r>
    </w:p>
    <w:p w:rsidR="000466FE" w:rsidRDefault="000466FE" w:rsidP="006B406A">
      <w:pPr>
        <w:pStyle w:val="BulletedList"/>
      </w:pPr>
      <w:r>
        <w:t>Copies of the Text Analysis Rubric</w:t>
      </w:r>
      <w:r w:rsidR="006B406A">
        <w:t xml:space="preserve"> and Checklist</w:t>
      </w:r>
    </w:p>
    <w:p w:rsidR="000466FE" w:rsidRDefault="000466FE" w:rsidP="006B406A">
      <w:pPr>
        <w:pStyle w:val="BulletedList"/>
      </w:pPr>
      <w:r>
        <w:t xml:space="preserve">Copies of the Short Response </w:t>
      </w:r>
      <w:r w:rsidR="006B406A">
        <w:t>Rubric and Checklist</w:t>
      </w:r>
    </w:p>
    <w:p w:rsidR="000466FE" w:rsidRDefault="000466FE" w:rsidP="006B406A">
      <w:pPr>
        <w:pStyle w:val="BulletedList"/>
      </w:pPr>
      <w:r>
        <w:t>Copies of the Speaking and Listening Rubric</w:t>
      </w:r>
      <w:r w:rsidR="006B406A">
        <w:t xml:space="preserve"> and Checklist</w:t>
      </w:r>
    </w:p>
    <w:p w:rsidR="001F53B2" w:rsidRDefault="001F53B2">
      <w:pPr>
        <w:spacing w:before="0" w:after="0" w:line="240" w:lineRule="auto"/>
      </w:pPr>
    </w:p>
    <w:p w:rsidR="001F53B2" w:rsidRDefault="001F53B2">
      <w:pPr>
        <w:spacing w:before="0" w:after="0" w:line="240" w:lineRule="auto"/>
      </w:pPr>
    </w:p>
    <w:sectPr w:rsidR="001F53B2" w:rsidSect="007F5F49">
      <w:headerReference w:type="default" r:id="rId8"/>
      <w:footerReference w:type="default" r:id="rId9"/>
      <w:pgSz w:w="12240" w:h="15840" w:code="1"/>
      <w:pgMar w:top="1440" w:right="1440" w:bottom="1440" w:left="1440" w:header="432"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E6" w:rsidRDefault="000909E6">
      <w:pPr>
        <w:spacing w:before="0" w:after="0" w:line="240" w:lineRule="auto"/>
      </w:pPr>
      <w:r>
        <w:separator/>
      </w:r>
    </w:p>
  </w:endnote>
  <w:endnote w:type="continuationSeparator" w:id="0">
    <w:p w:rsidR="000909E6" w:rsidRDefault="00090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E2" w:rsidRPr="00563CB8" w:rsidRDefault="00B253E2" w:rsidP="00131FC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253E2">
      <w:trPr>
        <w:trHeight w:val="705"/>
      </w:trPr>
      <w:tc>
        <w:tcPr>
          <w:tcW w:w="4609" w:type="dxa"/>
          <w:shd w:val="clear" w:color="auto" w:fill="auto"/>
          <w:vAlign w:val="center"/>
        </w:tcPr>
        <w:p w:rsidR="00B253E2" w:rsidRPr="002E4C92" w:rsidRDefault="00B253E2" w:rsidP="00131FC8">
          <w:pPr>
            <w:pStyle w:val="FooterText"/>
          </w:pPr>
          <w:r w:rsidRPr="002E4C92">
            <w:t>File:</w:t>
          </w:r>
          <w:r w:rsidRPr="0039525B">
            <w:rPr>
              <w:b w:val="0"/>
            </w:rPr>
            <w:t xml:space="preserve"> </w:t>
          </w:r>
          <w:r>
            <w:rPr>
              <w:b w:val="0"/>
            </w:rPr>
            <w:t>10.1.3 Unit Overview</w:t>
          </w:r>
          <w:r w:rsidRPr="002E4C92">
            <w:t xml:space="preserve"> Date:</w:t>
          </w:r>
          <w:r w:rsidRPr="0039525B">
            <w:rPr>
              <w:b w:val="0"/>
            </w:rPr>
            <w:t xml:space="preserve"> </w:t>
          </w:r>
          <w:r w:rsidR="00E017EA">
            <w:rPr>
              <w:b w:val="0"/>
            </w:rPr>
            <w:t>2</w:t>
          </w:r>
          <w:r w:rsidRPr="00131FC8">
            <w:rPr>
              <w:b w:val="0"/>
            </w:rPr>
            <w:t>/</w:t>
          </w:r>
          <w:r w:rsidR="00E017EA">
            <w:rPr>
              <w:b w:val="0"/>
            </w:rPr>
            <w:t>3</w:t>
          </w:r>
          <w:r w:rsidR="006B406A">
            <w:rPr>
              <w:b w:val="0"/>
            </w:rPr>
            <w:t>/14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B253E2" w:rsidRPr="0039525B" w:rsidRDefault="00B253E2" w:rsidP="00131FC8">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B253E2" w:rsidRPr="0039525B" w:rsidRDefault="00B253E2" w:rsidP="00131FC8">
          <w:pPr>
            <w:pStyle w:val="FooterText"/>
            <w:rPr>
              <w:b w:val="0"/>
              <w:i/>
            </w:rPr>
          </w:pPr>
          <w:r w:rsidRPr="0039525B">
            <w:rPr>
              <w:b w:val="0"/>
              <w:i/>
              <w:sz w:val="12"/>
            </w:rPr>
            <w:t>Creative Commons Attribution-NonCommercial-ShareAlike 3.0 Unported License</w:t>
          </w:r>
        </w:p>
        <w:p w:rsidR="00B253E2" w:rsidRPr="002E4C92" w:rsidRDefault="000909E6" w:rsidP="00131FC8">
          <w:pPr>
            <w:pStyle w:val="FooterText"/>
          </w:pPr>
          <w:hyperlink r:id="rId1" w:history="1">
            <w:r w:rsidR="00B253E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253E2" w:rsidRPr="002E4C92" w:rsidRDefault="00314566" w:rsidP="00131FC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253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05603">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253E2" w:rsidRPr="002E4C92" w:rsidRDefault="00B253E2" w:rsidP="00131FC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253E2" w:rsidRPr="0039525B" w:rsidRDefault="00B253E2" w:rsidP="00131FC8">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E6" w:rsidRDefault="000909E6">
      <w:pPr>
        <w:spacing w:before="0" w:after="0" w:line="240" w:lineRule="auto"/>
      </w:pPr>
      <w:r>
        <w:separator/>
      </w:r>
    </w:p>
  </w:footnote>
  <w:footnote w:type="continuationSeparator" w:id="0">
    <w:p w:rsidR="000909E6" w:rsidRDefault="000909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Ind w:w="98" w:type="dxa"/>
      <w:tblLayout w:type="fixed"/>
      <w:tblCellMar>
        <w:left w:w="10" w:type="dxa"/>
        <w:right w:w="10" w:type="dxa"/>
      </w:tblCellMar>
      <w:tblLook w:val="0000" w:firstRow="0" w:lastRow="0" w:firstColumn="0" w:lastColumn="0" w:noHBand="0" w:noVBand="0"/>
    </w:tblPr>
    <w:tblGrid>
      <w:gridCol w:w="3708"/>
      <w:gridCol w:w="2430"/>
      <w:gridCol w:w="3438"/>
    </w:tblGrid>
    <w:tr w:rsidR="00B253E2">
      <w:tc>
        <w:tcPr>
          <w:tcW w:w="3708" w:type="dxa"/>
          <w:tcMar>
            <w:top w:w="100" w:type="dxa"/>
            <w:left w:w="108" w:type="dxa"/>
            <w:bottom w:w="100" w:type="dxa"/>
            <w:right w:w="108" w:type="dxa"/>
          </w:tcMar>
        </w:tcPr>
        <w:p w:rsidR="00B253E2" w:rsidRDefault="00B253E2" w:rsidP="00131FC8">
          <w:pPr>
            <w:pStyle w:val="PageHeader"/>
          </w:pPr>
          <w:r>
            <w:t>NYS Common Core ELA &amp; Literacy Curriculum</w:t>
          </w:r>
        </w:p>
      </w:tc>
      <w:tc>
        <w:tcPr>
          <w:tcW w:w="2430" w:type="dxa"/>
          <w:tcMar>
            <w:top w:w="100" w:type="dxa"/>
            <w:left w:w="108" w:type="dxa"/>
            <w:bottom w:w="100" w:type="dxa"/>
            <w:right w:w="108" w:type="dxa"/>
          </w:tcMar>
          <w:vAlign w:val="center"/>
        </w:tcPr>
        <w:p w:rsidR="00B253E2" w:rsidRPr="00131FC8" w:rsidRDefault="00B253E2" w:rsidP="00131FC8">
          <w:pPr>
            <w:jc w:val="center"/>
          </w:pPr>
          <w:r w:rsidRPr="00131FC8">
            <w:t>D R A F T</w:t>
          </w:r>
        </w:p>
      </w:tc>
      <w:tc>
        <w:tcPr>
          <w:tcW w:w="3438" w:type="dxa"/>
          <w:tcMar>
            <w:top w:w="100" w:type="dxa"/>
            <w:left w:w="108" w:type="dxa"/>
            <w:bottom w:w="100" w:type="dxa"/>
            <w:right w:w="108" w:type="dxa"/>
          </w:tcMar>
        </w:tcPr>
        <w:p w:rsidR="00B253E2" w:rsidRPr="00131FC8" w:rsidRDefault="00B253E2" w:rsidP="001C6986">
          <w:pPr>
            <w:pStyle w:val="PageHeader"/>
            <w:jc w:val="right"/>
            <w:rPr>
              <w:b w:val="0"/>
            </w:rPr>
          </w:pPr>
          <w:r w:rsidRPr="00131FC8">
            <w:rPr>
              <w:b w:val="0"/>
            </w:rPr>
            <w:t xml:space="preserve">Grade 10 • Module 1 • Unit </w:t>
          </w:r>
          <w:r w:rsidR="001C6986">
            <w:rPr>
              <w:b w:val="0"/>
            </w:rPr>
            <w:t>3</w:t>
          </w:r>
          <w:r w:rsidRPr="00131FC8">
            <w:rPr>
              <w:b w:val="0"/>
            </w:rPr>
            <w:t xml:space="preserve"> Overview</w:t>
          </w:r>
        </w:p>
      </w:tc>
    </w:tr>
  </w:tbl>
  <w:p w:rsidR="00B253E2" w:rsidRDefault="00B253E2">
    <w:pP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4C78"/>
    <w:multiLevelType w:val="multilevel"/>
    <w:tmpl w:val="C6C0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04040"/>
    <w:multiLevelType w:val="hybridMultilevel"/>
    <w:tmpl w:val="194CB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15400E"/>
    <w:multiLevelType w:val="hybridMultilevel"/>
    <w:tmpl w:val="455C3BB6"/>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861D1"/>
    <w:multiLevelType w:val="multilevel"/>
    <w:tmpl w:val="B9FC9088"/>
    <w:lvl w:ilvl="0">
      <w:start w:val="1"/>
      <w:numFmt w:val="bullet"/>
      <w:lvlText w:val="●"/>
      <w:lvlJc w:val="left"/>
      <w:pPr>
        <w:ind w:left="360" w:firstLine="0"/>
      </w:pPr>
      <w:rPr>
        <w:rFonts w:ascii="Arial" w:eastAsia="Arial" w:hAnsi="Arial" w:cs="Webdings"/>
      </w:rPr>
    </w:lvl>
    <w:lvl w:ilvl="1">
      <w:start w:val="1"/>
      <w:numFmt w:val="bullet"/>
      <w:lvlText w:val="o"/>
      <w:lvlJc w:val="left"/>
      <w:pPr>
        <w:ind w:left="1080" w:firstLine="720"/>
      </w:pPr>
      <w:rPr>
        <w:rFonts w:ascii="Arial" w:eastAsia="Arial" w:hAnsi="Arial" w:cs="Webdings"/>
      </w:rPr>
    </w:lvl>
    <w:lvl w:ilvl="2">
      <w:start w:val="1"/>
      <w:numFmt w:val="bullet"/>
      <w:lvlText w:val="▪"/>
      <w:lvlJc w:val="left"/>
      <w:pPr>
        <w:ind w:left="1800" w:firstLine="1440"/>
      </w:pPr>
      <w:rPr>
        <w:rFonts w:ascii="Arial" w:eastAsia="Arial" w:hAnsi="Arial" w:cs="Webdings"/>
      </w:rPr>
    </w:lvl>
    <w:lvl w:ilvl="3">
      <w:start w:val="1"/>
      <w:numFmt w:val="bullet"/>
      <w:lvlText w:val="●"/>
      <w:lvlJc w:val="left"/>
      <w:pPr>
        <w:ind w:left="2520" w:firstLine="2160"/>
      </w:pPr>
      <w:rPr>
        <w:rFonts w:ascii="Arial" w:eastAsia="Arial" w:hAnsi="Arial" w:cs="Webdings"/>
      </w:rPr>
    </w:lvl>
    <w:lvl w:ilvl="4">
      <w:start w:val="1"/>
      <w:numFmt w:val="bullet"/>
      <w:lvlText w:val="o"/>
      <w:lvlJc w:val="left"/>
      <w:pPr>
        <w:ind w:left="3240" w:firstLine="2880"/>
      </w:pPr>
      <w:rPr>
        <w:rFonts w:ascii="Arial" w:eastAsia="Arial" w:hAnsi="Arial" w:cs="Webdings"/>
      </w:rPr>
    </w:lvl>
    <w:lvl w:ilvl="5">
      <w:start w:val="1"/>
      <w:numFmt w:val="bullet"/>
      <w:lvlText w:val="▪"/>
      <w:lvlJc w:val="left"/>
      <w:pPr>
        <w:ind w:left="3960" w:firstLine="3600"/>
      </w:pPr>
      <w:rPr>
        <w:rFonts w:ascii="Arial" w:eastAsia="Arial" w:hAnsi="Arial" w:cs="Webdings"/>
      </w:rPr>
    </w:lvl>
    <w:lvl w:ilvl="6">
      <w:start w:val="1"/>
      <w:numFmt w:val="bullet"/>
      <w:lvlText w:val="●"/>
      <w:lvlJc w:val="left"/>
      <w:pPr>
        <w:ind w:left="4680" w:firstLine="4320"/>
      </w:pPr>
      <w:rPr>
        <w:rFonts w:ascii="Arial" w:eastAsia="Arial" w:hAnsi="Arial" w:cs="Webdings"/>
      </w:rPr>
    </w:lvl>
    <w:lvl w:ilvl="7">
      <w:start w:val="1"/>
      <w:numFmt w:val="bullet"/>
      <w:lvlText w:val="o"/>
      <w:lvlJc w:val="left"/>
      <w:pPr>
        <w:ind w:left="5400" w:firstLine="5040"/>
      </w:pPr>
      <w:rPr>
        <w:rFonts w:ascii="Arial" w:eastAsia="Arial" w:hAnsi="Arial" w:cs="Webdings"/>
      </w:rPr>
    </w:lvl>
    <w:lvl w:ilvl="8">
      <w:start w:val="1"/>
      <w:numFmt w:val="bullet"/>
      <w:lvlText w:val="▪"/>
      <w:lvlJc w:val="left"/>
      <w:pPr>
        <w:ind w:left="6120" w:firstLine="5760"/>
      </w:pPr>
      <w:rPr>
        <w:rFonts w:ascii="Arial" w:eastAsia="Arial" w:hAnsi="Arial" w:cs="Webdings"/>
      </w:rPr>
    </w:lvl>
  </w:abstractNum>
  <w:abstractNum w:abstractNumId="7">
    <w:nsid w:val="5AC57447"/>
    <w:multiLevelType w:val="hybridMultilevel"/>
    <w:tmpl w:val="F47A7AF2"/>
    <w:lvl w:ilvl="0" w:tplc="2B441EEE">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B161D"/>
    <w:multiLevelType w:val="multilevel"/>
    <w:tmpl w:val="3012B0FC"/>
    <w:lvl w:ilvl="0">
      <w:start w:val="1"/>
      <w:numFmt w:val="bullet"/>
      <w:lvlText w:val="●"/>
      <w:lvlJc w:val="left"/>
      <w:pPr>
        <w:ind w:left="360" w:firstLine="360"/>
      </w:pPr>
      <w:rPr>
        <w:rFonts w:ascii="Arial" w:eastAsia="Arial" w:hAnsi="Arial" w:cs="Webdings"/>
      </w:rPr>
    </w:lvl>
    <w:lvl w:ilvl="1">
      <w:start w:val="1"/>
      <w:numFmt w:val="bullet"/>
      <w:lvlText w:val="o"/>
      <w:lvlJc w:val="left"/>
      <w:pPr>
        <w:ind w:left="1080" w:firstLine="1800"/>
      </w:pPr>
      <w:rPr>
        <w:rFonts w:ascii="Arial" w:eastAsia="Arial" w:hAnsi="Arial" w:cs="Webdings"/>
      </w:rPr>
    </w:lvl>
    <w:lvl w:ilvl="2">
      <w:start w:val="1"/>
      <w:numFmt w:val="bullet"/>
      <w:lvlText w:val="▪"/>
      <w:lvlJc w:val="left"/>
      <w:pPr>
        <w:ind w:left="1800" w:firstLine="3240"/>
      </w:pPr>
      <w:rPr>
        <w:rFonts w:ascii="Arial" w:eastAsia="Arial" w:hAnsi="Arial" w:cs="Webdings"/>
      </w:rPr>
    </w:lvl>
    <w:lvl w:ilvl="3">
      <w:start w:val="1"/>
      <w:numFmt w:val="bullet"/>
      <w:lvlText w:val="●"/>
      <w:lvlJc w:val="left"/>
      <w:pPr>
        <w:ind w:left="2520" w:firstLine="4680"/>
      </w:pPr>
      <w:rPr>
        <w:rFonts w:ascii="Arial" w:eastAsia="Arial" w:hAnsi="Arial" w:cs="Webdings"/>
      </w:rPr>
    </w:lvl>
    <w:lvl w:ilvl="4">
      <w:start w:val="1"/>
      <w:numFmt w:val="bullet"/>
      <w:lvlText w:val="o"/>
      <w:lvlJc w:val="left"/>
      <w:pPr>
        <w:ind w:left="3240" w:firstLine="6120"/>
      </w:pPr>
      <w:rPr>
        <w:rFonts w:ascii="Arial" w:eastAsia="Arial" w:hAnsi="Arial" w:cs="Webdings"/>
      </w:rPr>
    </w:lvl>
    <w:lvl w:ilvl="5">
      <w:start w:val="1"/>
      <w:numFmt w:val="bullet"/>
      <w:lvlText w:val="▪"/>
      <w:lvlJc w:val="left"/>
      <w:pPr>
        <w:ind w:left="3960" w:firstLine="7560"/>
      </w:pPr>
      <w:rPr>
        <w:rFonts w:ascii="Arial" w:eastAsia="Arial" w:hAnsi="Arial" w:cs="Webdings"/>
      </w:rPr>
    </w:lvl>
    <w:lvl w:ilvl="6">
      <w:start w:val="1"/>
      <w:numFmt w:val="bullet"/>
      <w:lvlText w:val="●"/>
      <w:lvlJc w:val="left"/>
      <w:pPr>
        <w:ind w:left="4680" w:firstLine="9000"/>
      </w:pPr>
      <w:rPr>
        <w:rFonts w:ascii="Arial" w:eastAsia="Arial" w:hAnsi="Arial" w:cs="Webdings"/>
      </w:rPr>
    </w:lvl>
    <w:lvl w:ilvl="7">
      <w:start w:val="1"/>
      <w:numFmt w:val="bullet"/>
      <w:lvlText w:val="o"/>
      <w:lvlJc w:val="left"/>
      <w:pPr>
        <w:ind w:left="5400" w:firstLine="10440"/>
      </w:pPr>
      <w:rPr>
        <w:rFonts w:ascii="Arial" w:eastAsia="Arial" w:hAnsi="Arial" w:cs="Webdings"/>
      </w:rPr>
    </w:lvl>
    <w:lvl w:ilvl="8">
      <w:start w:val="1"/>
      <w:numFmt w:val="bullet"/>
      <w:lvlText w:val="▪"/>
      <w:lvlJc w:val="left"/>
      <w:pPr>
        <w:ind w:left="6120" w:firstLine="11880"/>
      </w:pPr>
      <w:rPr>
        <w:rFonts w:ascii="Arial" w:eastAsia="Arial" w:hAnsi="Arial" w:cs="Webdings"/>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4"/>
    <w:lvlOverride w:ilvl="0">
      <w:startOverride w:val="1"/>
    </w:lvlOverride>
  </w:num>
  <w:num w:numId="6">
    <w:abstractNumId w:val="11"/>
  </w:num>
  <w:num w:numId="7">
    <w:abstractNumId w:val="2"/>
  </w:num>
  <w:num w:numId="8">
    <w:abstractNumId w:val="8"/>
  </w:num>
  <w:num w:numId="9">
    <w:abstractNumId w:val="3"/>
  </w:num>
  <w:num w:numId="10">
    <w:abstractNumId w:val="5"/>
  </w:num>
  <w:num w:numId="11">
    <w:abstractNumId w:val="7"/>
  </w:num>
  <w:num w:numId="12">
    <w:abstractNumId w:val="1"/>
  </w:num>
  <w:num w:numId="13">
    <w:abstractNumId w:val="10"/>
  </w:num>
  <w:num w:numId="14">
    <w:abstractNumId w:val="4"/>
    <w:lvlOverride w:ilvl="0">
      <w:startOverride w:val="1"/>
    </w:lvlOverride>
  </w:num>
  <w:num w:numId="15">
    <w:abstractNumId w:val="11"/>
  </w:num>
  <w:num w:numId="16">
    <w:abstractNumId w:val="2"/>
  </w:num>
  <w:num w:numId="17">
    <w:abstractNumId w:val="8"/>
  </w:num>
  <w:num w:numId="18">
    <w:abstractNumId w:val="7"/>
    <w:lvlOverride w:ilvl="0">
      <w:startOverride w:val="1"/>
    </w:lvlOverride>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53B2"/>
    <w:rsid w:val="000056FE"/>
    <w:rsid w:val="00017790"/>
    <w:rsid w:val="00024FD8"/>
    <w:rsid w:val="00026FF5"/>
    <w:rsid w:val="000466FE"/>
    <w:rsid w:val="00054DE1"/>
    <w:rsid w:val="0006454B"/>
    <w:rsid w:val="0006785E"/>
    <w:rsid w:val="00077BA7"/>
    <w:rsid w:val="000909E6"/>
    <w:rsid w:val="000A61D2"/>
    <w:rsid w:val="000F3E39"/>
    <w:rsid w:val="00103BB5"/>
    <w:rsid w:val="00111F58"/>
    <w:rsid w:val="00131FC8"/>
    <w:rsid w:val="00134E03"/>
    <w:rsid w:val="00147274"/>
    <w:rsid w:val="001800BE"/>
    <w:rsid w:val="00190CC2"/>
    <w:rsid w:val="001A4C38"/>
    <w:rsid w:val="001C6986"/>
    <w:rsid w:val="001F0DF8"/>
    <w:rsid w:val="001F53B2"/>
    <w:rsid w:val="002146D5"/>
    <w:rsid w:val="00217AC2"/>
    <w:rsid w:val="00232AF2"/>
    <w:rsid w:val="00236AFC"/>
    <w:rsid w:val="0025179D"/>
    <w:rsid w:val="00256815"/>
    <w:rsid w:val="0026500D"/>
    <w:rsid w:val="00267CC0"/>
    <w:rsid w:val="00273178"/>
    <w:rsid w:val="002B4F60"/>
    <w:rsid w:val="002B7768"/>
    <w:rsid w:val="002E467A"/>
    <w:rsid w:val="002E5C26"/>
    <w:rsid w:val="003004A3"/>
    <w:rsid w:val="00302D41"/>
    <w:rsid w:val="00313019"/>
    <w:rsid w:val="00314566"/>
    <w:rsid w:val="003530D5"/>
    <w:rsid w:val="00365BAB"/>
    <w:rsid w:val="003A7A5F"/>
    <w:rsid w:val="003B7067"/>
    <w:rsid w:val="003E379E"/>
    <w:rsid w:val="003F51FE"/>
    <w:rsid w:val="00405603"/>
    <w:rsid w:val="004225CE"/>
    <w:rsid w:val="00440E2E"/>
    <w:rsid w:val="004551C0"/>
    <w:rsid w:val="0047245B"/>
    <w:rsid w:val="00474B76"/>
    <w:rsid w:val="004D7A8A"/>
    <w:rsid w:val="00502E97"/>
    <w:rsid w:val="00542AAE"/>
    <w:rsid w:val="00550C63"/>
    <w:rsid w:val="005547D1"/>
    <w:rsid w:val="00584311"/>
    <w:rsid w:val="005A2D57"/>
    <w:rsid w:val="005B6F3B"/>
    <w:rsid w:val="005C3830"/>
    <w:rsid w:val="005E33D5"/>
    <w:rsid w:val="005E6A48"/>
    <w:rsid w:val="005E78A9"/>
    <w:rsid w:val="00614953"/>
    <w:rsid w:val="00630BB3"/>
    <w:rsid w:val="00645F72"/>
    <w:rsid w:val="00672572"/>
    <w:rsid w:val="00692CBE"/>
    <w:rsid w:val="006B406A"/>
    <w:rsid w:val="006B69CE"/>
    <w:rsid w:val="006C2D1C"/>
    <w:rsid w:val="006D6233"/>
    <w:rsid w:val="006D6DC2"/>
    <w:rsid w:val="006F61C4"/>
    <w:rsid w:val="00717944"/>
    <w:rsid w:val="0072144A"/>
    <w:rsid w:val="007333AA"/>
    <w:rsid w:val="00773634"/>
    <w:rsid w:val="007824E8"/>
    <w:rsid w:val="00796042"/>
    <w:rsid w:val="007A454D"/>
    <w:rsid w:val="007A709D"/>
    <w:rsid w:val="007A76D8"/>
    <w:rsid w:val="007F2677"/>
    <w:rsid w:val="007F5F49"/>
    <w:rsid w:val="0080608F"/>
    <w:rsid w:val="008075D6"/>
    <w:rsid w:val="008E3815"/>
    <w:rsid w:val="008F2E0D"/>
    <w:rsid w:val="00902363"/>
    <w:rsid w:val="00927220"/>
    <w:rsid w:val="00946AC0"/>
    <w:rsid w:val="00964E45"/>
    <w:rsid w:val="0097457B"/>
    <w:rsid w:val="00996671"/>
    <w:rsid w:val="009A117D"/>
    <w:rsid w:val="009C02A7"/>
    <w:rsid w:val="009C7B69"/>
    <w:rsid w:val="009E3FBE"/>
    <w:rsid w:val="009F09FA"/>
    <w:rsid w:val="009F3BEA"/>
    <w:rsid w:val="00A21ED8"/>
    <w:rsid w:val="00A70113"/>
    <w:rsid w:val="00A77BBB"/>
    <w:rsid w:val="00A8627D"/>
    <w:rsid w:val="00AB13F6"/>
    <w:rsid w:val="00AC075B"/>
    <w:rsid w:val="00AF42BE"/>
    <w:rsid w:val="00B15AEC"/>
    <w:rsid w:val="00B251A0"/>
    <w:rsid w:val="00B253E2"/>
    <w:rsid w:val="00B30929"/>
    <w:rsid w:val="00B34311"/>
    <w:rsid w:val="00B378FC"/>
    <w:rsid w:val="00B51807"/>
    <w:rsid w:val="00B51C78"/>
    <w:rsid w:val="00B86216"/>
    <w:rsid w:val="00B96DE5"/>
    <w:rsid w:val="00BA54BF"/>
    <w:rsid w:val="00C22C5A"/>
    <w:rsid w:val="00C36707"/>
    <w:rsid w:val="00C36747"/>
    <w:rsid w:val="00C379AA"/>
    <w:rsid w:val="00C940EF"/>
    <w:rsid w:val="00CA6509"/>
    <w:rsid w:val="00CD7C94"/>
    <w:rsid w:val="00CF6641"/>
    <w:rsid w:val="00D03BB9"/>
    <w:rsid w:val="00D04230"/>
    <w:rsid w:val="00D43562"/>
    <w:rsid w:val="00D51834"/>
    <w:rsid w:val="00D72084"/>
    <w:rsid w:val="00D731F0"/>
    <w:rsid w:val="00D75D83"/>
    <w:rsid w:val="00D83E02"/>
    <w:rsid w:val="00DA6E53"/>
    <w:rsid w:val="00DB044F"/>
    <w:rsid w:val="00DE51CC"/>
    <w:rsid w:val="00E00253"/>
    <w:rsid w:val="00E017EA"/>
    <w:rsid w:val="00E01BDD"/>
    <w:rsid w:val="00E05811"/>
    <w:rsid w:val="00E153E7"/>
    <w:rsid w:val="00E17B12"/>
    <w:rsid w:val="00E23555"/>
    <w:rsid w:val="00E27F7F"/>
    <w:rsid w:val="00E46F5D"/>
    <w:rsid w:val="00E538FD"/>
    <w:rsid w:val="00E63EC8"/>
    <w:rsid w:val="00E715A9"/>
    <w:rsid w:val="00E818E7"/>
    <w:rsid w:val="00E8449F"/>
    <w:rsid w:val="00EC6842"/>
    <w:rsid w:val="00F16F3A"/>
    <w:rsid w:val="00F76131"/>
    <w:rsid w:val="00F84AE3"/>
    <w:rsid w:val="00F965EC"/>
    <w:rsid w:val="00FD48AA"/>
    <w:rsid w:val="00FD72E5"/>
    <w:rsid w:val="00FF586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5CCFEA-461D-405A-9EFD-7B37B50D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538FD"/>
    <w:pPr>
      <w:spacing w:before="60" w:after="180" w:line="276" w:lineRule="auto"/>
    </w:pPr>
    <w:rPr>
      <w:rFonts w:ascii="Calibri" w:eastAsia="Calibri" w:hAnsi="Calibri" w:cs="Times New Roman"/>
      <w:lang w:val="en-US" w:eastAsia="en-US"/>
    </w:rPr>
  </w:style>
  <w:style w:type="paragraph" w:styleId="Heading1">
    <w:name w:val="heading 1"/>
    <w:aliases w:val="*Headers"/>
    <w:basedOn w:val="Normal"/>
    <w:next w:val="Normal"/>
    <w:link w:val="Heading1Char"/>
    <w:uiPriority w:val="9"/>
    <w:qFormat/>
    <w:rsid w:val="00E538F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E538F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E538F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rsid w:val="00314566"/>
    <w:pPr>
      <w:spacing w:before="240" w:line="240" w:lineRule="auto"/>
      <w:outlineLvl w:val="3"/>
    </w:pPr>
    <w:rPr>
      <w:b/>
      <w:sz w:val="28"/>
    </w:rPr>
  </w:style>
  <w:style w:type="paragraph" w:styleId="Heading5">
    <w:name w:val="heading 5"/>
    <w:basedOn w:val="Normal"/>
    <w:next w:val="Normal"/>
    <w:rsid w:val="00314566"/>
    <w:pPr>
      <w:spacing w:before="220" w:after="40" w:line="240" w:lineRule="auto"/>
      <w:outlineLvl w:val="4"/>
    </w:pPr>
    <w:rPr>
      <w:b/>
    </w:rPr>
  </w:style>
  <w:style w:type="paragraph" w:styleId="Heading6">
    <w:name w:val="heading 6"/>
    <w:basedOn w:val="Normal"/>
    <w:next w:val="Normal"/>
    <w:rsid w:val="00314566"/>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538FD"/>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
    <w:next w:val="Normal"/>
    <w:rsid w:val="00314566"/>
    <w:pPr>
      <w:spacing w:before="360" w:after="80" w:line="240" w:lineRule="auto"/>
    </w:pPr>
    <w:rPr>
      <w:rFonts w:ascii="Georgia" w:eastAsia="Georgia" w:hAnsi="Georgia" w:cs="Georgia"/>
      <w:i/>
      <w:color w:val="666666"/>
      <w:sz w:val="48"/>
    </w:rPr>
  </w:style>
  <w:style w:type="paragraph" w:styleId="Header">
    <w:name w:val="header"/>
    <w:basedOn w:val="Normal"/>
    <w:link w:val="HeaderChar"/>
    <w:uiPriority w:val="99"/>
    <w:unhideWhenUsed/>
    <w:rsid w:val="00E538FD"/>
    <w:pPr>
      <w:tabs>
        <w:tab w:val="center" w:pos="4680"/>
        <w:tab w:val="right" w:pos="9360"/>
      </w:tabs>
    </w:pPr>
    <w:rPr>
      <w:sz w:val="20"/>
    </w:rPr>
  </w:style>
  <w:style w:type="character" w:customStyle="1" w:styleId="HeaderChar">
    <w:name w:val="Header Char"/>
    <w:link w:val="Header"/>
    <w:uiPriority w:val="99"/>
    <w:rsid w:val="00E538FD"/>
    <w:rPr>
      <w:rFonts w:ascii="Calibri" w:eastAsia="Calibri" w:hAnsi="Calibri" w:cs="Times New Roman"/>
      <w:sz w:val="20"/>
      <w:lang w:val="en-US" w:eastAsia="en-US"/>
    </w:rPr>
  </w:style>
  <w:style w:type="paragraph" w:styleId="Footer">
    <w:name w:val="footer"/>
    <w:basedOn w:val="Normal"/>
    <w:link w:val="FooterChar"/>
    <w:uiPriority w:val="99"/>
    <w:rsid w:val="00E538FD"/>
    <w:pPr>
      <w:tabs>
        <w:tab w:val="center" w:pos="4320"/>
        <w:tab w:val="right" w:pos="8640"/>
      </w:tabs>
    </w:pPr>
    <w:rPr>
      <w:rFonts w:ascii="Times New Roman" w:hAnsi="Times New Roman"/>
      <w:sz w:val="20"/>
    </w:rPr>
  </w:style>
  <w:style w:type="character" w:customStyle="1" w:styleId="FooterChar">
    <w:name w:val="Footer Char"/>
    <w:link w:val="Footer"/>
    <w:uiPriority w:val="99"/>
    <w:rsid w:val="00E538FD"/>
    <w:rPr>
      <w:rFonts w:ascii="Times New Roman" w:eastAsia="Calibri" w:hAnsi="Times New Roman" w:cs="Times New Roman"/>
      <w:sz w:val="20"/>
      <w:lang w:val="en-US" w:eastAsia="en-US"/>
    </w:rPr>
  </w:style>
  <w:style w:type="paragraph" w:styleId="Quote">
    <w:name w:val="Quote"/>
    <w:basedOn w:val="Normal"/>
    <w:next w:val="Normal"/>
    <w:link w:val="QuoteChar"/>
    <w:uiPriority w:val="29"/>
    <w:qFormat/>
    <w:rsid w:val="009966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6671"/>
    <w:rPr>
      <w:rFonts w:ascii="Calibri" w:eastAsia="Calibri" w:hAnsi="Calibri" w:cs="Calibri"/>
      <w:i/>
      <w:iCs/>
      <w:color w:val="404040" w:themeColor="text1" w:themeTint="BF"/>
    </w:rPr>
  </w:style>
  <w:style w:type="paragraph" w:styleId="NoSpacing">
    <w:name w:val="No Spacing"/>
    <w:uiPriority w:val="1"/>
    <w:qFormat/>
    <w:rsid w:val="006F61C4"/>
    <w:pPr>
      <w:spacing w:after="0" w:line="240" w:lineRule="auto"/>
    </w:pPr>
    <w:rPr>
      <w:rFonts w:ascii="Calibri" w:eastAsia="Calibri" w:hAnsi="Calibri" w:cs="Calibri"/>
      <w:color w:val="000000"/>
    </w:rPr>
  </w:style>
  <w:style w:type="paragraph" w:customStyle="1" w:styleId="BR">
    <w:name w:val="*BR*"/>
    <w:link w:val="BRChar"/>
    <w:qFormat/>
    <w:rsid w:val="00E538FD"/>
    <w:pPr>
      <w:pBdr>
        <w:bottom w:val="single" w:sz="12" w:space="1" w:color="7F7F7F" w:themeColor="text1" w:themeTint="80"/>
      </w:pBdr>
      <w:spacing w:after="360" w:line="240" w:lineRule="auto"/>
      <w:ind w:left="2880" w:right="2880"/>
    </w:pPr>
    <w:rPr>
      <w:rFonts w:ascii="Calibri" w:eastAsia="Calibri" w:hAnsi="Calibri" w:cs="Times New Roman"/>
      <w:sz w:val="18"/>
      <w:lang w:val="en-US" w:eastAsia="en-US"/>
    </w:rPr>
  </w:style>
  <w:style w:type="character" w:customStyle="1" w:styleId="BRChar">
    <w:name w:val="*BR* Char"/>
    <w:basedOn w:val="DefaultParagraphFont"/>
    <w:link w:val="BR"/>
    <w:rsid w:val="00E538FD"/>
    <w:rPr>
      <w:rFonts w:ascii="Calibri" w:eastAsia="Calibri" w:hAnsi="Calibri" w:cs="Times New Roman"/>
      <w:sz w:val="18"/>
      <w:lang w:val="en-US" w:eastAsia="en-US"/>
    </w:rPr>
  </w:style>
  <w:style w:type="paragraph" w:customStyle="1" w:styleId="BulletedList">
    <w:name w:val="*Bulleted List"/>
    <w:link w:val="BulletedListChar"/>
    <w:qFormat/>
    <w:rsid w:val="00E538FD"/>
    <w:pPr>
      <w:numPr>
        <w:numId w:val="11"/>
      </w:numPr>
      <w:spacing w:before="60" w:after="60" w:line="276" w:lineRule="auto"/>
    </w:pPr>
    <w:rPr>
      <w:rFonts w:ascii="Calibri" w:eastAsia="Calibri" w:hAnsi="Calibri" w:cs="Times New Roman"/>
      <w:lang w:val="en-US" w:eastAsia="en-US"/>
    </w:rPr>
  </w:style>
  <w:style w:type="character" w:customStyle="1" w:styleId="BulletedListChar">
    <w:name w:val="*Bulleted List Char"/>
    <w:basedOn w:val="MediumList2-Accent41Char"/>
    <w:link w:val="BulletedList"/>
    <w:rsid w:val="00E538FD"/>
    <w:rPr>
      <w:rFonts w:ascii="Calibri" w:eastAsia="Calibri" w:hAnsi="Calibri" w:cs="Times New Roman"/>
      <w:lang w:val="en-US" w:eastAsia="en-US"/>
    </w:rPr>
  </w:style>
  <w:style w:type="paragraph" w:customStyle="1" w:styleId="ExcerptAuthor">
    <w:name w:val="*ExcerptAuthor"/>
    <w:basedOn w:val="Normal"/>
    <w:link w:val="ExcerptAuthorChar"/>
    <w:qFormat/>
    <w:rsid w:val="00E538FD"/>
    <w:pPr>
      <w:jc w:val="center"/>
    </w:pPr>
    <w:rPr>
      <w:rFonts w:asciiTheme="majorHAnsi" w:hAnsiTheme="majorHAnsi"/>
      <w:b/>
    </w:rPr>
  </w:style>
  <w:style w:type="character" w:customStyle="1" w:styleId="ExcerptAuthorChar">
    <w:name w:val="*ExcerptAuthor Char"/>
    <w:basedOn w:val="DefaultParagraphFont"/>
    <w:link w:val="ExcerptAuthor"/>
    <w:rsid w:val="00E538FD"/>
    <w:rPr>
      <w:rFonts w:asciiTheme="majorHAnsi" w:eastAsia="Calibri" w:hAnsiTheme="majorHAnsi" w:cs="Times New Roman"/>
      <w:b/>
      <w:lang w:val="en-US" w:eastAsia="en-US"/>
    </w:rPr>
  </w:style>
  <w:style w:type="paragraph" w:customStyle="1" w:styleId="ExcerptBody">
    <w:name w:val="*ExcerptBody"/>
    <w:basedOn w:val="Normal"/>
    <w:link w:val="ExcerptBodyChar"/>
    <w:qFormat/>
    <w:rsid w:val="00E538F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E538FD"/>
    <w:rPr>
      <w:rFonts w:ascii="Times New Roman" w:eastAsia="Times New Roman" w:hAnsi="Times New Roman" w:cs="Times New Roman"/>
      <w:color w:val="000000"/>
      <w:sz w:val="24"/>
      <w:szCs w:val="17"/>
      <w:lang w:val="en-US" w:eastAsia="en-US"/>
    </w:rPr>
  </w:style>
  <w:style w:type="paragraph" w:customStyle="1" w:styleId="ExcerptTitle">
    <w:name w:val="*ExcerptTitle"/>
    <w:basedOn w:val="Normal"/>
    <w:link w:val="ExcerptTitleChar"/>
    <w:qFormat/>
    <w:rsid w:val="00E538FD"/>
    <w:pPr>
      <w:jc w:val="center"/>
    </w:pPr>
    <w:rPr>
      <w:rFonts w:asciiTheme="majorHAnsi" w:hAnsiTheme="majorHAnsi"/>
      <w:b/>
      <w:smallCaps/>
      <w:sz w:val="32"/>
    </w:rPr>
  </w:style>
  <w:style w:type="character" w:customStyle="1" w:styleId="ExcerptTitleChar">
    <w:name w:val="*ExcerptTitle Char"/>
    <w:basedOn w:val="DefaultParagraphFont"/>
    <w:link w:val="ExcerptTitle"/>
    <w:rsid w:val="00E538FD"/>
    <w:rPr>
      <w:rFonts w:asciiTheme="majorHAnsi" w:eastAsia="Calibri" w:hAnsiTheme="majorHAnsi" w:cs="Times New Roman"/>
      <w:b/>
      <w:smallCaps/>
      <w:sz w:val="32"/>
      <w:lang w:val="en-US" w:eastAsia="en-US"/>
    </w:rPr>
  </w:style>
  <w:style w:type="paragraph" w:customStyle="1" w:styleId="FooterText">
    <w:name w:val="*FooterText"/>
    <w:link w:val="FooterTextChar"/>
    <w:qFormat/>
    <w:rsid w:val="00E538FD"/>
    <w:pPr>
      <w:spacing w:after="0" w:line="200" w:lineRule="exact"/>
    </w:pPr>
    <w:rPr>
      <w:rFonts w:ascii="Calibri" w:eastAsia="Verdana" w:hAnsi="Calibri" w:cs="Calibri"/>
      <w:b/>
      <w:color w:val="595959"/>
      <w:sz w:val="14"/>
      <w:lang w:val="en-US" w:eastAsia="en-US"/>
    </w:rPr>
  </w:style>
  <w:style w:type="character" w:customStyle="1" w:styleId="FooterTextChar">
    <w:name w:val="FooterText Char"/>
    <w:basedOn w:val="folioChar"/>
    <w:link w:val="FooterText"/>
    <w:rsid w:val="00E538FD"/>
    <w:rPr>
      <w:rFonts w:ascii="Calibri" w:eastAsia="Verdana" w:hAnsi="Calibri" w:cs="Calibri"/>
      <w:b/>
      <w:color w:val="595959"/>
      <w:sz w:val="14"/>
      <w:lang w:val="en-US" w:eastAsia="en-US"/>
    </w:rPr>
  </w:style>
  <w:style w:type="paragraph" w:customStyle="1" w:styleId="IN">
    <w:name w:val="*IN*"/>
    <w:link w:val="INChar"/>
    <w:qFormat/>
    <w:rsid w:val="00E538FD"/>
    <w:pPr>
      <w:numPr>
        <w:numId w:val="12"/>
      </w:numPr>
      <w:spacing w:before="120" w:after="60" w:line="276" w:lineRule="auto"/>
    </w:pPr>
    <w:rPr>
      <w:rFonts w:ascii="Calibri" w:eastAsia="Calibri" w:hAnsi="Calibri" w:cs="Times New Roman"/>
      <w:color w:val="4F81BD" w:themeColor="accent1"/>
      <w:lang w:val="en-US" w:eastAsia="en-US"/>
    </w:rPr>
  </w:style>
  <w:style w:type="character" w:customStyle="1" w:styleId="INChar">
    <w:name w:val="*IN* Char"/>
    <w:basedOn w:val="DefaultParagraphFont"/>
    <w:link w:val="IN"/>
    <w:rsid w:val="00E538FD"/>
    <w:rPr>
      <w:rFonts w:ascii="Calibri" w:eastAsia="Calibri" w:hAnsi="Calibri" w:cs="Times New Roman"/>
      <w:color w:val="4F81BD" w:themeColor="accent1"/>
      <w:lang w:val="en-US" w:eastAsia="en-US"/>
    </w:rPr>
  </w:style>
  <w:style w:type="paragraph" w:customStyle="1" w:styleId="INBullet">
    <w:name w:val="*IN* Bullet"/>
    <w:link w:val="INBulletChar"/>
    <w:qFormat/>
    <w:rsid w:val="00E538FD"/>
    <w:pPr>
      <w:numPr>
        <w:numId w:val="13"/>
      </w:numPr>
      <w:spacing w:after="60" w:line="276" w:lineRule="auto"/>
    </w:pPr>
    <w:rPr>
      <w:rFonts w:ascii="Calibri" w:eastAsia="Calibri" w:hAnsi="Calibri" w:cs="Times New Roman"/>
      <w:color w:val="4F81BD" w:themeColor="accent1"/>
      <w:lang w:val="en-US" w:eastAsia="en-US"/>
    </w:rPr>
  </w:style>
  <w:style w:type="character" w:customStyle="1" w:styleId="INBulletChar">
    <w:name w:val="*IN* Bullet Char"/>
    <w:basedOn w:val="BulletedListChar"/>
    <w:link w:val="INBullet"/>
    <w:rsid w:val="00E538FD"/>
    <w:rPr>
      <w:rFonts w:ascii="Calibri" w:eastAsia="Calibri" w:hAnsi="Calibri" w:cs="Times New Roman"/>
      <w:color w:val="4F81BD" w:themeColor="accent1"/>
      <w:lang w:val="en-US" w:eastAsia="en-US"/>
    </w:rPr>
  </w:style>
  <w:style w:type="paragraph" w:customStyle="1" w:styleId="LearningSequenceHeader">
    <w:name w:val="*Learning Sequence Header"/>
    <w:next w:val="TA"/>
    <w:link w:val="LearningSequenceHeaderChar"/>
    <w:qFormat/>
    <w:rsid w:val="00E538FD"/>
    <w:pPr>
      <w:pBdr>
        <w:bottom w:val="single" w:sz="12" w:space="1" w:color="9BBB59" w:themeColor="accent3"/>
      </w:pBdr>
      <w:tabs>
        <w:tab w:val="right" w:pos="9360"/>
      </w:tabs>
      <w:spacing w:before="480" w:after="0" w:line="240" w:lineRule="auto"/>
    </w:pPr>
    <w:rPr>
      <w:rFonts w:ascii="Cambria" w:eastAsia="Calibri" w:hAnsi="Cambria" w:cs="Times New Roman"/>
      <w:b/>
      <w:bCs/>
      <w:color w:val="4F81BD"/>
      <w:sz w:val="28"/>
      <w:szCs w:val="26"/>
      <w:lang w:val="en-US" w:eastAsia="en-US"/>
    </w:rPr>
  </w:style>
  <w:style w:type="character" w:customStyle="1" w:styleId="LearningSequenceHeaderChar">
    <w:name w:val="*Learning Sequence Header Char"/>
    <w:basedOn w:val="Heading2Char"/>
    <w:link w:val="LearningSequenceHeader"/>
    <w:rsid w:val="00E538FD"/>
    <w:rPr>
      <w:rFonts w:ascii="Cambria" w:eastAsia="Calibri" w:hAnsi="Cambria" w:cs="Times New Roman"/>
      <w:b/>
      <w:bCs/>
      <w:i w:val="0"/>
      <w:color w:val="4F81BD"/>
      <w:sz w:val="28"/>
      <w:szCs w:val="26"/>
      <w:lang w:val="en-US" w:eastAsia="en-US"/>
    </w:rPr>
  </w:style>
  <w:style w:type="paragraph" w:customStyle="1" w:styleId="NumberedList">
    <w:name w:val="*Numbered List"/>
    <w:link w:val="NumberedListChar"/>
    <w:qFormat/>
    <w:rsid w:val="00E538FD"/>
    <w:pPr>
      <w:numPr>
        <w:numId w:val="14"/>
      </w:numPr>
      <w:spacing w:after="60" w:line="240" w:lineRule="auto"/>
    </w:pPr>
    <w:rPr>
      <w:rFonts w:ascii="Calibri" w:eastAsia="Calibri" w:hAnsi="Calibri" w:cs="Times New Roman"/>
      <w:lang w:val="en-US" w:eastAsia="en-US"/>
    </w:rPr>
  </w:style>
  <w:style w:type="character" w:customStyle="1" w:styleId="NumberedListChar">
    <w:name w:val="*Numbered List Char"/>
    <w:basedOn w:val="BulletedListChar"/>
    <w:link w:val="NumberedList"/>
    <w:rsid w:val="00E538FD"/>
    <w:rPr>
      <w:rFonts w:ascii="Calibri" w:eastAsia="Calibri" w:hAnsi="Calibri" w:cs="Times New Roman"/>
      <w:lang w:val="en-US" w:eastAsia="en-US"/>
    </w:rPr>
  </w:style>
  <w:style w:type="paragraph" w:customStyle="1" w:styleId="PageHeader">
    <w:name w:val="*PageHeader"/>
    <w:link w:val="PageHeaderChar"/>
    <w:qFormat/>
    <w:rsid w:val="00E538FD"/>
    <w:pPr>
      <w:spacing w:before="120" w:after="0" w:line="240" w:lineRule="auto"/>
    </w:pPr>
    <w:rPr>
      <w:rFonts w:ascii="Calibri" w:eastAsia="Calibri" w:hAnsi="Calibri" w:cs="Times New Roman"/>
      <w:b/>
      <w:sz w:val="18"/>
      <w:lang w:val="en-US" w:eastAsia="en-US"/>
    </w:rPr>
  </w:style>
  <w:style w:type="character" w:customStyle="1" w:styleId="PageHeaderChar">
    <w:name w:val="*PageHeader Char"/>
    <w:basedOn w:val="BodyTextChar"/>
    <w:link w:val="PageHeader"/>
    <w:rsid w:val="00E538FD"/>
    <w:rPr>
      <w:rFonts w:ascii="Calibri" w:eastAsia="Calibri" w:hAnsi="Calibri" w:cs="Times New Roman"/>
      <w:b/>
      <w:sz w:val="18"/>
      <w:lang w:val="en-US" w:eastAsia="en-US"/>
    </w:rPr>
  </w:style>
  <w:style w:type="paragraph" w:customStyle="1" w:styleId="Q">
    <w:name w:val="*Q*"/>
    <w:link w:val="QChar"/>
    <w:qFormat/>
    <w:rsid w:val="00E538FD"/>
    <w:pPr>
      <w:spacing w:before="240" w:after="0" w:line="276" w:lineRule="auto"/>
    </w:pPr>
    <w:rPr>
      <w:rFonts w:ascii="Calibri" w:eastAsia="Calibri" w:hAnsi="Calibri" w:cs="Times New Roman"/>
      <w:b/>
      <w:lang w:val="en-US" w:eastAsia="en-US"/>
    </w:rPr>
  </w:style>
  <w:style w:type="character" w:customStyle="1" w:styleId="QChar">
    <w:name w:val="*Q* Char"/>
    <w:basedOn w:val="ListParagraphChar"/>
    <w:link w:val="Q"/>
    <w:rsid w:val="00E538FD"/>
    <w:rPr>
      <w:rFonts w:ascii="Calibri" w:eastAsia="Calibri" w:hAnsi="Calibri" w:cs="Times New Roman"/>
      <w:b/>
      <w:lang w:val="en-US" w:eastAsia="en-US"/>
    </w:rPr>
  </w:style>
  <w:style w:type="paragraph" w:customStyle="1" w:styleId="SA">
    <w:name w:val="*SA*"/>
    <w:link w:val="SAChar"/>
    <w:qFormat/>
    <w:rsid w:val="00E538FD"/>
    <w:pPr>
      <w:numPr>
        <w:numId w:val="15"/>
      </w:numPr>
      <w:spacing w:before="120" w:after="0" w:line="276" w:lineRule="auto"/>
    </w:pPr>
    <w:rPr>
      <w:rFonts w:ascii="Calibri" w:eastAsia="Calibri" w:hAnsi="Calibri" w:cs="Times New Roman"/>
      <w:lang w:val="en-US" w:eastAsia="en-US"/>
    </w:rPr>
  </w:style>
  <w:style w:type="character" w:customStyle="1" w:styleId="SAChar">
    <w:name w:val="*SA* Char"/>
    <w:basedOn w:val="ListParagraphChar"/>
    <w:link w:val="SA"/>
    <w:rsid w:val="00E538FD"/>
    <w:rPr>
      <w:rFonts w:ascii="Calibri" w:eastAsia="Calibri" w:hAnsi="Calibri" w:cs="Times New Roman"/>
      <w:lang w:val="en-US" w:eastAsia="en-US"/>
    </w:rPr>
  </w:style>
  <w:style w:type="paragraph" w:customStyle="1" w:styleId="SASRBullet">
    <w:name w:val="*SA/SR Bullet"/>
    <w:basedOn w:val="Normal"/>
    <w:link w:val="SASRBulletChar"/>
    <w:qFormat/>
    <w:rsid w:val="00E538FD"/>
    <w:pPr>
      <w:numPr>
        <w:ilvl w:val="1"/>
        <w:numId w:val="16"/>
      </w:numPr>
      <w:spacing w:before="120"/>
      <w:contextualSpacing/>
    </w:pPr>
  </w:style>
  <w:style w:type="character" w:customStyle="1" w:styleId="SASRBulletChar">
    <w:name w:val="*SA/SR Bullet Char"/>
    <w:basedOn w:val="DefaultParagraphFont"/>
    <w:link w:val="SASRBullet"/>
    <w:rsid w:val="00E538FD"/>
    <w:rPr>
      <w:rFonts w:ascii="Calibri" w:eastAsia="Calibri" w:hAnsi="Calibri" w:cs="Times New Roman"/>
      <w:lang w:val="en-US" w:eastAsia="en-US"/>
    </w:rPr>
  </w:style>
  <w:style w:type="paragraph" w:customStyle="1" w:styleId="SR">
    <w:name w:val="*SR*"/>
    <w:link w:val="SRChar"/>
    <w:qFormat/>
    <w:rsid w:val="00E538FD"/>
    <w:pPr>
      <w:numPr>
        <w:numId w:val="17"/>
      </w:numPr>
      <w:spacing w:before="120" w:after="0" w:line="276" w:lineRule="auto"/>
    </w:pPr>
    <w:rPr>
      <w:rFonts w:ascii="Calibri" w:eastAsia="Calibri" w:hAnsi="Calibri" w:cs="Times New Roman"/>
      <w:lang w:val="en-US" w:eastAsia="en-US"/>
    </w:rPr>
  </w:style>
  <w:style w:type="character" w:customStyle="1" w:styleId="SRChar">
    <w:name w:val="*SR* Char"/>
    <w:basedOn w:val="ListParagraphChar"/>
    <w:link w:val="SR"/>
    <w:rsid w:val="00E538FD"/>
    <w:rPr>
      <w:rFonts w:ascii="Calibri" w:eastAsia="Calibri" w:hAnsi="Calibri" w:cs="Times New Roman"/>
      <w:lang w:val="en-US" w:eastAsia="en-US"/>
    </w:rPr>
  </w:style>
  <w:style w:type="paragraph" w:customStyle="1" w:styleId="TA">
    <w:name w:val="*TA*"/>
    <w:link w:val="TAChar"/>
    <w:qFormat/>
    <w:rsid w:val="00E538FD"/>
    <w:pPr>
      <w:spacing w:before="180" w:after="180" w:line="240" w:lineRule="auto"/>
    </w:pPr>
    <w:rPr>
      <w:rFonts w:ascii="Calibri" w:eastAsia="Calibri" w:hAnsi="Calibri" w:cs="Times New Roman"/>
      <w:lang w:val="en-US" w:eastAsia="en-US"/>
    </w:rPr>
  </w:style>
  <w:style w:type="character" w:customStyle="1" w:styleId="TAChar">
    <w:name w:val="*TA* Char"/>
    <w:basedOn w:val="DefaultParagraphFont"/>
    <w:link w:val="TA"/>
    <w:rsid w:val="00E538FD"/>
    <w:rPr>
      <w:rFonts w:ascii="Calibri" w:eastAsia="Calibri" w:hAnsi="Calibri" w:cs="Times New Roman"/>
      <w:lang w:val="en-US" w:eastAsia="en-US"/>
    </w:rPr>
  </w:style>
  <w:style w:type="paragraph" w:customStyle="1" w:styleId="TableHeaders">
    <w:name w:val="*TableHeaders"/>
    <w:basedOn w:val="Normal"/>
    <w:link w:val="TableHeadersChar"/>
    <w:qFormat/>
    <w:rsid w:val="00E538F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E538FD"/>
    <w:rPr>
      <w:rFonts w:ascii="Calibri" w:eastAsia="Calibri" w:hAnsi="Calibri" w:cs="Times New Roman"/>
      <w:b/>
      <w:color w:val="FFFFFF" w:themeColor="background1"/>
      <w:lang w:val="en-US" w:eastAsia="en-US"/>
    </w:rPr>
  </w:style>
  <w:style w:type="paragraph" w:customStyle="1" w:styleId="TableText">
    <w:name w:val="*TableText"/>
    <w:link w:val="TableTextChar"/>
    <w:qFormat/>
    <w:rsid w:val="00E538FD"/>
    <w:pPr>
      <w:spacing w:before="40" w:after="40" w:line="276" w:lineRule="auto"/>
    </w:pPr>
    <w:rPr>
      <w:rFonts w:ascii="Calibri" w:eastAsia="Calibri" w:hAnsi="Calibri" w:cs="Times New Roman"/>
      <w:lang w:val="en-US" w:eastAsia="en-US"/>
    </w:rPr>
  </w:style>
  <w:style w:type="character" w:customStyle="1" w:styleId="TableTextChar">
    <w:name w:val="*TableText Char"/>
    <w:basedOn w:val="DefaultParagraphFont"/>
    <w:link w:val="TableText"/>
    <w:rsid w:val="00E538FD"/>
    <w:rPr>
      <w:rFonts w:ascii="Calibri" w:eastAsia="Calibri" w:hAnsi="Calibri" w:cs="Times New Roman"/>
      <w:lang w:val="en-US" w:eastAsia="en-US"/>
    </w:rPr>
  </w:style>
  <w:style w:type="paragraph" w:customStyle="1" w:styleId="ToolHeader">
    <w:name w:val="*ToolHeader"/>
    <w:qFormat/>
    <w:rsid w:val="00E538FD"/>
    <w:pPr>
      <w:spacing w:after="120" w:line="240" w:lineRule="auto"/>
    </w:pPr>
    <w:rPr>
      <w:rFonts w:eastAsia="Calibri" w:cs="Times New Roman"/>
      <w:b/>
      <w:bCs/>
      <w:color w:val="365F91"/>
      <w:sz w:val="32"/>
      <w:szCs w:val="28"/>
      <w:lang w:val="en-US" w:eastAsia="en-US"/>
    </w:rPr>
  </w:style>
  <w:style w:type="paragraph" w:customStyle="1" w:styleId="ToolTableText">
    <w:name w:val="*ToolTableText"/>
    <w:qFormat/>
    <w:rsid w:val="00E538FD"/>
    <w:pPr>
      <w:spacing w:before="40" w:after="120" w:line="240" w:lineRule="auto"/>
    </w:pPr>
    <w:rPr>
      <w:rFonts w:ascii="Calibri" w:eastAsia="Calibri" w:hAnsi="Calibri" w:cs="Times New Roman"/>
      <w:lang w:val="en-US" w:eastAsia="en-US"/>
    </w:rPr>
  </w:style>
  <w:style w:type="character" w:customStyle="1" w:styleId="apple-converted-space">
    <w:name w:val="apple-converted-space"/>
    <w:rsid w:val="00E538FD"/>
  </w:style>
  <w:style w:type="paragraph" w:styleId="BalloonText">
    <w:name w:val="Balloon Text"/>
    <w:basedOn w:val="Normal"/>
    <w:link w:val="BalloonTextChar"/>
    <w:uiPriority w:val="99"/>
    <w:semiHidden/>
    <w:unhideWhenUsed/>
    <w:rsid w:val="00E538FD"/>
    <w:rPr>
      <w:rFonts w:ascii="Tahoma" w:hAnsi="Tahoma"/>
      <w:sz w:val="16"/>
      <w:szCs w:val="16"/>
    </w:rPr>
  </w:style>
  <w:style w:type="character" w:customStyle="1" w:styleId="BalloonTextChar">
    <w:name w:val="Balloon Text Char"/>
    <w:link w:val="BalloonText"/>
    <w:uiPriority w:val="99"/>
    <w:semiHidden/>
    <w:rsid w:val="00E538FD"/>
    <w:rPr>
      <w:rFonts w:ascii="Tahoma" w:eastAsia="Calibri" w:hAnsi="Tahoma" w:cs="Times New Roman"/>
      <w:sz w:val="16"/>
      <w:szCs w:val="16"/>
      <w:lang w:val="en-US" w:eastAsia="en-US"/>
    </w:rPr>
  </w:style>
  <w:style w:type="paragraph" w:styleId="BodyText">
    <w:name w:val="Body Text"/>
    <w:basedOn w:val="Normal"/>
    <w:link w:val="BodyTextChar"/>
    <w:rsid w:val="00E538FD"/>
    <w:pPr>
      <w:spacing w:after="120"/>
    </w:pPr>
  </w:style>
  <w:style w:type="character" w:customStyle="1" w:styleId="BodyTextChar">
    <w:name w:val="Body Text Char"/>
    <w:link w:val="BodyText"/>
    <w:rsid w:val="00E538FD"/>
    <w:rPr>
      <w:rFonts w:ascii="Calibri" w:eastAsia="Calibri" w:hAnsi="Calibri" w:cs="Times New Roman"/>
      <w:lang w:val="en-US" w:eastAsia="en-US"/>
    </w:rPr>
  </w:style>
  <w:style w:type="paragraph" w:customStyle="1" w:styleId="ColorfulList-Accent11">
    <w:name w:val="Colorful List - Accent 11"/>
    <w:basedOn w:val="Normal"/>
    <w:uiPriority w:val="34"/>
    <w:rsid w:val="00E538FD"/>
    <w:pPr>
      <w:ind w:left="720"/>
      <w:contextualSpacing/>
    </w:pPr>
  </w:style>
  <w:style w:type="character" w:styleId="CommentReference">
    <w:name w:val="annotation reference"/>
    <w:uiPriority w:val="99"/>
    <w:semiHidden/>
    <w:unhideWhenUsed/>
    <w:rsid w:val="00E538FD"/>
    <w:rPr>
      <w:sz w:val="16"/>
      <w:szCs w:val="16"/>
    </w:rPr>
  </w:style>
  <w:style w:type="paragraph" w:styleId="CommentText">
    <w:name w:val="annotation text"/>
    <w:basedOn w:val="Normal"/>
    <w:link w:val="CommentTextChar"/>
    <w:uiPriority w:val="99"/>
    <w:unhideWhenUsed/>
    <w:rsid w:val="00E538FD"/>
    <w:rPr>
      <w:sz w:val="20"/>
    </w:rPr>
  </w:style>
  <w:style w:type="character" w:customStyle="1" w:styleId="CommentTextChar">
    <w:name w:val="Comment Text Char"/>
    <w:link w:val="CommentText"/>
    <w:uiPriority w:val="99"/>
    <w:rsid w:val="00E538FD"/>
    <w:rPr>
      <w:rFonts w:ascii="Calibri" w:eastAsia="Calibri" w:hAnsi="Calibri" w:cs="Times New Roman"/>
      <w:sz w:val="20"/>
      <w:lang w:val="en-US" w:eastAsia="en-US"/>
    </w:rPr>
  </w:style>
  <w:style w:type="paragraph" w:styleId="CommentSubject">
    <w:name w:val="annotation subject"/>
    <w:basedOn w:val="CommentText"/>
    <w:next w:val="CommentText"/>
    <w:link w:val="CommentSubjectChar"/>
    <w:uiPriority w:val="99"/>
    <w:semiHidden/>
    <w:unhideWhenUsed/>
    <w:rsid w:val="00E538FD"/>
    <w:rPr>
      <w:b/>
      <w:bCs/>
    </w:rPr>
  </w:style>
  <w:style w:type="character" w:customStyle="1" w:styleId="CommentSubjectChar">
    <w:name w:val="Comment Subject Char"/>
    <w:link w:val="CommentSubject"/>
    <w:uiPriority w:val="99"/>
    <w:semiHidden/>
    <w:rsid w:val="00E538FD"/>
    <w:rPr>
      <w:rFonts w:ascii="Calibri" w:eastAsia="Calibri" w:hAnsi="Calibri" w:cs="Times New Roman"/>
      <w:b/>
      <w:bCs/>
      <w:sz w:val="20"/>
      <w:lang w:val="en-US" w:eastAsia="en-US"/>
    </w:rPr>
  </w:style>
  <w:style w:type="paragraph" w:customStyle="1" w:styleId="folio">
    <w:name w:val="folio"/>
    <w:basedOn w:val="Normal"/>
    <w:link w:val="folioChar"/>
    <w:rsid w:val="00E538FD"/>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E538FD"/>
    <w:rPr>
      <w:rFonts w:ascii="Verdana" w:eastAsia="Verdana" w:hAnsi="Verdana" w:cs="Verdana"/>
      <w:color w:val="595959"/>
      <w:sz w:val="16"/>
      <w:lang w:val="en-US" w:eastAsia="en-US"/>
    </w:rPr>
  </w:style>
  <w:style w:type="character" w:styleId="FollowedHyperlink">
    <w:name w:val="FollowedHyperlink"/>
    <w:uiPriority w:val="99"/>
    <w:semiHidden/>
    <w:unhideWhenUsed/>
    <w:rsid w:val="00E538FD"/>
    <w:rPr>
      <w:color w:val="954F72"/>
      <w:u w:val="single"/>
    </w:rPr>
  </w:style>
  <w:style w:type="character" w:styleId="FootnoteReference">
    <w:name w:val="footnote reference"/>
    <w:basedOn w:val="DefaultParagraphFont"/>
    <w:uiPriority w:val="99"/>
    <w:semiHidden/>
    <w:unhideWhenUsed/>
    <w:rsid w:val="00E538FD"/>
    <w:rPr>
      <w:vertAlign w:val="superscript"/>
    </w:rPr>
  </w:style>
  <w:style w:type="paragraph" w:styleId="FootnoteText">
    <w:name w:val="footnote text"/>
    <w:basedOn w:val="Normal"/>
    <w:link w:val="FootnoteTextChar"/>
    <w:uiPriority w:val="99"/>
    <w:semiHidden/>
    <w:unhideWhenUsed/>
    <w:rsid w:val="00E538FD"/>
    <w:rPr>
      <w:sz w:val="20"/>
    </w:rPr>
  </w:style>
  <w:style w:type="character" w:customStyle="1" w:styleId="FootnoteTextChar">
    <w:name w:val="Footnote Text Char"/>
    <w:basedOn w:val="DefaultParagraphFont"/>
    <w:link w:val="FootnoteText"/>
    <w:uiPriority w:val="99"/>
    <w:semiHidden/>
    <w:rsid w:val="00E538FD"/>
    <w:rPr>
      <w:rFonts w:ascii="Calibri" w:eastAsia="Calibri" w:hAnsi="Calibri" w:cs="Times New Roman"/>
      <w:sz w:val="20"/>
      <w:lang w:val="en-US" w:eastAsia="en-US"/>
    </w:rPr>
  </w:style>
  <w:style w:type="paragraph" w:customStyle="1" w:styleId="Header-banner">
    <w:name w:val="Header-banner"/>
    <w:rsid w:val="00E538FD"/>
    <w:pPr>
      <w:spacing w:after="0" w:line="240" w:lineRule="auto"/>
      <w:ind w:left="43" w:right="43"/>
      <w:jc w:val="center"/>
    </w:pPr>
    <w:rPr>
      <w:rFonts w:ascii="Cambria" w:eastAsia="Calibri" w:hAnsi="Cambria" w:cs="Calibri"/>
      <w:b/>
      <w:bCs/>
      <w:caps/>
      <w:color w:val="FFFFFF"/>
      <w:sz w:val="44"/>
      <w:lang w:val="en-US" w:eastAsia="en-US"/>
    </w:rPr>
  </w:style>
  <w:style w:type="paragraph" w:customStyle="1" w:styleId="Header2banner">
    <w:name w:val="Header2_banner"/>
    <w:basedOn w:val="Header-banner"/>
    <w:rsid w:val="00E538FD"/>
    <w:pPr>
      <w:spacing w:line="440" w:lineRule="exact"/>
      <w:jc w:val="left"/>
    </w:pPr>
    <w:rPr>
      <w:caps w:val="0"/>
    </w:rPr>
  </w:style>
  <w:style w:type="character" w:customStyle="1" w:styleId="Heading1Char">
    <w:name w:val="Heading 1 Char"/>
    <w:aliases w:val="*Headers Char"/>
    <w:link w:val="Heading1"/>
    <w:uiPriority w:val="9"/>
    <w:rsid w:val="00E538FD"/>
    <w:rPr>
      <w:rFonts w:eastAsia="Calibri" w:cs="Times New Roman"/>
      <w:b/>
      <w:bCs/>
      <w:color w:val="365F91"/>
      <w:sz w:val="32"/>
      <w:szCs w:val="28"/>
      <w:lang w:val="en-US" w:eastAsia="en-US"/>
    </w:rPr>
  </w:style>
  <w:style w:type="character" w:customStyle="1" w:styleId="Heading2Char">
    <w:name w:val="Heading 2 Char"/>
    <w:link w:val="Heading2"/>
    <w:uiPriority w:val="9"/>
    <w:rsid w:val="00E538FD"/>
    <w:rPr>
      <w:rFonts w:ascii="Cambria" w:eastAsia="Calibri" w:hAnsi="Cambria" w:cs="Times New Roman"/>
      <w:b/>
      <w:bCs/>
      <w:i/>
      <w:color w:val="4F81BD"/>
      <w:sz w:val="26"/>
      <w:szCs w:val="26"/>
      <w:lang w:val="en-US" w:eastAsia="en-US"/>
    </w:rPr>
  </w:style>
  <w:style w:type="character" w:customStyle="1" w:styleId="Heading3Char">
    <w:name w:val="Heading 3 Char"/>
    <w:link w:val="Heading3"/>
    <w:uiPriority w:val="9"/>
    <w:rsid w:val="00E538FD"/>
    <w:rPr>
      <w:rFonts w:ascii="Cambria" w:eastAsia="Calibri" w:hAnsi="Cambria" w:cs="Times New Roman"/>
      <w:b/>
      <w:bCs/>
      <w:i/>
      <w:color w:val="7F7F7F"/>
      <w:sz w:val="20"/>
      <w:lang w:val="en-US" w:eastAsia="en-US"/>
    </w:rPr>
  </w:style>
  <w:style w:type="character" w:styleId="Hyperlink">
    <w:name w:val="Hyperlink"/>
    <w:uiPriority w:val="99"/>
    <w:unhideWhenUsed/>
    <w:rsid w:val="00E538FD"/>
    <w:rPr>
      <w:color w:val="0000FF"/>
      <w:u w:val="single"/>
    </w:rPr>
  </w:style>
  <w:style w:type="paragraph" w:styleId="ListParagraph">
    <w:name w:val="List Paragraph"/>
    <w:basedOn w:val="Normal"/>
    <w:link w:val="ListParagraphChar"/>
    <w:uiPriority w:val="34"/>
    <w:rsid w:val="00E538FD"/>
    <w:pPr>
      <w:ind w:left="720"/>
      <w:contextualSpacing/>
    </w:pPr>
  </w:style>
  <w:style w:type="character" w:customStyle="1" w:styleId="ListParagraphChar">
    <w:name w:val="List Paragraph Char"/>
    <w:basedOn w:val="DefaultParagraphFont"/>
    <w:link w:val="ListParagraph"/>
    <w:uiPriority w:val="34"/>
    <w:rsid w:val="00E538FD"/>
    <w:rPr>
      <w:rFonts w:ascii="Calibri" w:eastAsia="Calibri" w:hAnsi="Calibri" w:cs="Times New Roman"/>
      <w:lang w:val="en-US" w:eastAsia="en-US"/>
    </w:rPr>
  </w:style>
  <w:style w:type="paragraph" w:customStyle="1" w:styleId="MediumGrid1-Accent21">
    <w:name w:val="Medium Grid 1 - Accent 21"/>
    <w:basedOn w:val="Normal"/>
    <w:uiPriority w:val="34"/>
    <w:rsid w:val="00E538FD"/>
    <w:pPr>
      <w:ind w:left="720"/>
      <w:contextualSpacing/>
    </w:pPr>
  </w:style>
  <w:style w:type="paragraph" w:customStyle="1" w:styleId="MediumList2-Accent41">
    <w:name w:val="Medium List 2 - Accent 41"/>
    <w:basedOn w:val="Normal"/>
    <w:link w:val="MediumList2-Accent41Char"/>
    <w:uiPriority w:val="34"/>
    <w:rsid w:val="00E538FD"/>
    <w:pPr>
      <w:spacing w:after="200"/>
      <w:ind w:left="720"/>
      <w:contextualSpacing/>
    </w:pPr>
  </w:style>
  <w:style w:type="character" w:customStyle="1" w:styleId="MediumList2-Accent41Char">
    <w:name w:val="Medium List 2 - Accent 41 Char"/>
    <w:basedOn w:val="DefaultParagraphFont"/>
    <w:link w:val="MediumList2-Accent41"/>
    <w:uiPriority w:val="34"/>
    <w:rsid w:val="00E538FD"/>
    <w:rPr>
      <w:rFonts w:ascii="Calibri" w:eastAsia="Calibri" w:hAnsi="Calibri" w:cs="Times New Roman"/>
      <w:lang w:val="en-US" w:eastAsia="en-US"/>
    </w:rPr>
  </w:style>
  <w:style w:type="paragraph" w:customStyle="1" w:styleId="NoSpacing1">
    <w:name w:val="No Spacing1"/>
    <w:link w:val="NoSpacingChar"/>
    <w:rsid w:val="00E538FD"/>
    <w:pPr>
      <w:spacing w:after="0" w:line="240" w:lineRule="auto"/>
    </w:pPr>
    <w:rPr>
      <w:rFonts w:ascii="Tahoma" w:eastAsia="Calibri" w:hAnsi="Tahoma" w:cs="Times New Roman"/>
      <w:sz w:val="19"/>
      <w:lang w:val="en-US" w:eastAsia="en-US"/>
    </w:rPr>
  </w:style>
  <w:style w:type="character" w:customStyle="1" w:styleId="NoSpacingChar">
    <w:name w:val="No Spacing Char"/>
    <w:link w:val="NoSpacing1"/>
    <w:rsid w:val="00E538FD"/>
    <w:rPr>
      <w:rFonts w:ascii="Tahoma" w:eastAsia="Calibri" w:hAnsi="Tahoma" w:cs="Times New Roman"/>
      <w:sz w:val="19"/>
      <w:lang w:val="en-US" w:eastAsia="en-US"/>
    </w:rPr>
  </w:style>
  <w:style w:type="paragraph" w:styleId="NormalWeb">
    <w:name w:val="Normal (Web)"/>
    <w:basedOn w:val="Normal"/>
    <w:uiPriority w:val="99"/>
    <w:unhideWhenUsed/>
    <w:rsid w:val="00E538F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E538FD"/>
    <w:pPr>
      <w:autoSpaceDE w:val="0"/>
      <w:autoSpaceDN w:val="0"/>
      <w:adjustRightInd w:val="0"/>
      <w:spacing w:line="241" w:lineRule="atLeast"/>
    </w:pPr>
    <w:rPr>
      <w:rFonts w:ascii="Garamond" w:hAnsi="Garamond"/>
      <w:sz w:val="24"/>
      <w:szCs w:val="24"/>
    </w:rPr>
  </w:style>
  <w:style w:type="character" w:styleId="PageNumber">
    <w:name w:val="page number"/>
    <w:uiPriority w:val="99"/>
    <w:rsid w:val="00E538FD"/>
    <w:rPr>
      <w:rFonts w:cs="Times New Roman"/>
    </w:rPr>
  </w:style>
  <w:style w:type="character" w:customStyle="1" w:styleId="reference-text">
    <w:name w:val="reference-text"/>
    <w:rsid w:val="00E538FD"/>
  </w:style>
  <w:style w:type="table" w:styleId="TableGrid">
    <w:name w:val="Table Grid"/>
    <w:basedOn w:val="TableNormal"/>
    <w:uiPriority w:val="59"/>
    <w:rsid w:val="00E538FD"/>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E538FD"/>
    <w:rPr>
      <w:rFonts w:ascii="Cambria" w:eastAsia="Calibri" w:hAnsi="Cambria" w:cs="Times New Roman"/>
      <w:color w:val="17365D"/>
      <w:spacing w:val="5"/>
      <w:kern w:val="28"/>
      <w:sz w:val="52"/>
      <w:szCs w:val="52"/>
      <w:lang w:val="en-US" w:eastAsia="en-US"/>
    </w:rPr>
  </w:style>
  <w:style w:type="paragraph" w:customStyle="1" w:styleId="Heading1nospace">
    <w:name w:val="Heading 1 no space"/>
    <w:basedOn w:val="Heading1"/>
    <w:qFormat/>
    <w:rsid w:val="00B86216"/>
    <w:pPr>
      <w:keepLines w:val="0"/>
      <w:spacing w:before="0" w:after="60" w:line="460" w:lineRule="exact"/>
      <w:jc w:val="center"/>
    </w:pPr>
    <w:rPr>
      <w:rFonts w:asciiTheme="majorHAnsi" w:eastAsia="Cambria" w:hAnsiTheme="majorHAnsi" w:cs="Cambria"/>
      <w:color w:val="244061" w:themeColor="accent1" w:themeShade="80"/>
      <w:sz w:val="40"/>
      <w:szCs w:val="36"/>
    </w:rPr>
  </w:style>
  <w:style w:type="paragraph" w:styleId="Revision">
    <w:name w:val="Revision"/>
    <w:hidden/>
    <w:uiPriority w:val="99"/>
    <w:semiHidden/>
    <w:rsid w:val="005E6A48"/>
    <w:pPr>
      <w:spacing w:after="0" w:line="240" w:lineRule="auto"/>
    </w:pPr>
    <w:rPr>
      <w:rFonts w:ascii="Calibri" w:eastAsia="Calibri" w:hAnsi="Calibri" w:cs="Times New Roman"/>
      <w:lang w:val="en-US" w:eastAsia="en-US"/>
    </w:rPr>
  </w:style>
  <w:style w:type="paragraph" w:customStyle="1" w:styleId="Letterhangingindent">
    <w:name w:val="Letter_hanging_indent"/>
    <w:basedOn w:val="TableText"/>
    <w:link w:val="LetterhangingindentChar"/>
    <w:qFormat/>
    <w:rsid w:val="00AC075B"/>
    <w:pPr>
      <w:tabs>
        <w:tab w:val="left" w:pos="360"/>
      </w:tabs>
      <w:ind w:left="360" w:hanging="360"/>
    </w:pPr>
  </w:style>
  <w:style w:type="character" w:customStyle="1" w:styleId="LetterhangingindentChar">
    <w:name w:val="Letter_hanging_indent Char"/>
    <w:basedOn w:val="DefaultParagraphFont"/>
    <w:link w:val="Letterhangingindent"/>
    <w:rsid w:val="005B6F3B"/>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E0F81-6631-4633-9E0F-E6FD82BE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10.1.1 Unit Overview.docx</vt:lpstr>
    </vt:vector>
  </TitlesOfParts>
  <Company>NYSED</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 Unit Overview.docx</dc:title>
  <dc:creator>PCG Education</dc:creator>
  <cp:lastModifiedBy>Chmielewski, Elizabeth</cp:lastModifiedBy>
  <cp:revision>2</cp:revision>
  <cp:lastPrinted>2014-02-03T21:46:00Z</cp:lastPrinted>
  <dcterms:created xsi:type="dcterms:W3CDTF">2014-02-04T02:33:00Z</dcterms:created>
  <dcterms:modified xsi:type="dcterms:W3CDTF">2014-02-04T02:33:00Z</dcterms:modified>
</cp:coreProperties>
</file>