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75"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4"/>
        <w:gridCol w:w="7491"/>
      </w:tblGrid>
      <w:tr w:rsidR="00B86216" w:rsidRPr="00EB4001">
        <w:trPr>
          <w:trHeight w:val="1008"/>
        </w:trPr>
        <w:tc>
          <w:tcPr>
            <w:tcW w:w="1984" w:type="dxa"/>
            <w:tcBorders>
              <w:top w:val="nil"/>
              <w:bottom w:val="single" w:sz="18" w:space="0" w:color="FFFFFF" w:themeColor="background1"/>
            </w:tcBorders>
            <w:shd w:val="clear" w:color="1F497D" w:themeColor="text2" w:fill="403152" w:themeFill="accent4" w:themeFillShade="80"/>
            <w:vAlign w:val="center"/>
          </w:tcPr>
          <w:p w:rsidR="00B86216" w:rsidRPr="00EB4001" w:rsidRDefault="00B86216" w:rsidP="00531582">
            <w:pPr>
              <w:pStyle w:val="Header-banner"/>
              <w:rPr>
                <w:rFonts w:asciiTheme="minorHAnsi" w:hAnsiTheme="minorHAnsi"/>
              </w:rPr>
            </w:pPr>
            <w:bookmarkStart w:id="0" w:name="_Toc356982305"/>
            <w:r>
              <w:rPr>
                <w:rFonts w:asciiTheme="minorHAnsi" w:hAnsiTheme="minorHAnsi"/>
              </w:rPr>
              <w:t>10.1.2</w:t>
            </w:r>
          </w:p>
        </w:tc>
        <w:tc>
          <w:tcPr>
            <w:tcW w:w="7491" w:type="dxa"/>
            <w:tcBorders>
              <w:top w:val="nil"/>
              <w:bottom w:val="single" w:sz="18" w:space="0" w:color="FFFFFF" w:themeColor="background1"/>
            </w:tcBorders>
            <w:shd w:val="clear" w:color="1F497D" w:themeColor="text2" w:fill="5F497A" w:themeFill="accent4" w:themeFillShade="BF"/>
            <w:vAlign w:val="center"/>
          </w:tcPr>
          <w:p w:rsidR="00B86216" w:rsidRPr="00EB4001" w:rsidRDefault="00B86216" w:rsidP="00531582">
            <w:pPr>
              <w:pStyle w:val="Header2banner"/>
              <w:rPr>
                <w:rFonts w:asciiTheme="minorHAnsi" w:hAnsiTheme="minorHAnsi"/>
              </w:rPr>
            </w:pPr>
            <w:r>
              <w:rPr>
                <w:rFonts w:asciiTheme="minorHAnsi" w:hAnsiTheme="minorHAnsi"/>
              </w:rPr>
              <w:t>Unit</w:t>
            </w:r>
            <w:r w:rsidRPr="00EB4001">
              <w:rPr>
                <w:rFonts w:asciiTheme="minorHAnsi" w:hAnsiTheme="minorHAnsi"/>
              </w:rPr>
              <w:t xml:space="preserve"> Overview</w:t>
            </w:r>
          </w:p>
        </w:tc>
      </w:tr>
      <w:tr w:rsidR="00B86216" w:rsidRPr="0015343B">
        <w:trPr>
          <w:trHeight w:val="720"/>
        </w:trPr>
        <w:tc>
          <w:tcPr>
            <w:tcW w:w="9475" w:type="dxa"/>
            <w:gridSpan w:val="2"/>
            <w:tcBorders>
              <w:bottom w:val="single" w:sz="8" w:space="0" w:color="403152" w:themeColor="accent4" w:themeShade="80"/>
            </w:tcBorders>
            <w:shd w:val="solid" w:color="F2F2F2" w:themeColor="background1" w:themeShade="F2" w:fill="auto"/>
            <w:vAlign w:val="center"/>
          </w:tcPr>
          <w:p w:rsidR="00B86216" w:rsidRPr="00826181" w:rsidRDefault="00B86216" w:rsidP="00531582">
            <w:pPr>
              <w:pStyle w:val="Heading1nospace"/>
              <w:rPr>
                <w:rFonts w:asciiTheme="minorHAnsi" w:hAnsiTheme="minorHAnsi"/>
                <w:color w:val="auto"/>
              </w:rPr>
            </w:pPr>
            <w:r w:rsidRPr="00B86216">
              <w:rPr>
                <w:rFonts w:ascii="Calibri" w:hAnsi="Calibri"/>
                <w:color w:val="auto"/>
              </w:rPr>
              <w:t>“For one does not alter history without conviction.”</w:t>
            </w:r>
          </w:p>
        </w:tc>
      </w:tr>
      <w:tr w:rsidR="00B86216" w:rsidRPr="003F77B8">
        <w:trPr>
          <w:trHeight w:val="576"/>
        </w:trPr>
        <w:tc>
          <w:tcPr>
            <w:tcW w:w="1984" w:type="dxa"/>
            <w:tcBorders>
              <w:top w:val="single" w:sz="8" w:space="0" w:color="403152" w:themeColor="accent4" w:themeShade="80"/>
              <w:bottom w:val="single" w:sz="8" w:space="0" w:color="403152" w:themeColor="accent4" w:themeShade="80"/>
            </w:tcBorders>
            <w:shd w:val="solid" w:color="F2F2F2" w:themeColor="background1" w:themeShade="F2" w:fill="auto"/>
          </w:tcPr>
          <w:p w:rsidR="00B86216" w:rsidRPr="009C7B69" w:rsidRDefault="00B86216" w:rsidP="00E8449F">
            <w:pPr>
              <w:rPr>
                <w:b/>
                <w:color w:val="244061" w:themeColor="accent1" w:themeShade="80"/>
              </w:rPr>
            </w:pPr>
            <w:r w:rsidRPr="009C7B69">
              <w:rPr>
                <w:b/>
                <w:color w:val="244061" w:themeColor="accent1" w:themeShade="80"/>
              </w:rPr>
              <w:t>Texts</w:t>
            </w:r>
          </w:p>
        </w:tc>
        <w:tc>
          <w:tcPr>
            <w:tcW w:w="7491" w:type="dxa"/>
            <w:tcBorders>
              <w:top w:val="single" w:sz="8" w:space="0" w:color="403152" w:themeColor="accent4" w:themeShade="80"/>
              <w:bottom w:val="single" w:sz="8" w:space="0" w:color="403152" w:themeColor="accent4" w:themeShade="80"/>
            </w:tcBorders>
            <w:shd w:val="solid" w:color="F2F2F2" w:themeColor="background1" w:themeShade="F2" w:fill="auto"/>
          </w:tcPr>
          <w:p w:rsidR="00E8449F" w:rsidRPr="002766BF" w:rsidRDefault="00B86216" w:rsidP="002D3064">
            <w:r w:rsidRPr="00EB4001">
              <w:rPr>
                <w:b/>
              </w:rPr>
              <w:t>Unit 2:</w:t>
            </w:r>
            <w:r w:rsidRPr="00EB4001">
              <w:t xml:space="preserve"> </w:t>
            </w:r>
            <w:r w:rsidR="002D3064">
              <w:t>“</w:t>
            </w:r>
            <w:r w:rsidR="00E8449F" w:rsidRPr="002D3064">
              <w:t>The Palace Thief</w:t>
            </w:r>
            <w:r w:rsidR="002D3064">
              <w:t xml:space="preserve">” by Ethan </w:t>
            </w:r>
            <w:proofErr w:type="spellStart"/>
            <w:r w:rsidR="002D3064">
              <w:t>Canin</w:t>
            </w:r>
            <w:proofErr w:type="spellEnd"/>
            <w:r>
              <w:t xml:space="preserve"> </w:t>
            </w:r>
          </w:p>
        </w:tc>
      </w:tr>
      <w:tr w:rsidR="00E8449F" w:rsidRPr="003F77B8">
        <w:trPr>
          <w:trHeight w:val="576"/>
        </w:trPr>
        <w:tc>
          <w:tcPr>
            <w:tcW w:w="1984" w:type="dxa"/>
            <w:tcBorders>
              <w:top w:val="single" w:sz="8" w:space="0" w:color="403152" w:themeColor="accent4" w:themeShade="80"/>
            </w:tcBorders>
            <w:shd w:val="solid" w:color="F2F2F2" w:themeColor="background1" w:themeShade="F2" w:fill="auto"/>
            <w:vAlign w:val="center"/>
          </w:tcPr>
          <w:p w:rsidR="00E8449F" w:rsidRPr="009C7B69" w:rsidRDefault="00E8449F" w:rsidP="007F5F49">
            <w:pPr>
              <w:rPr>
                <w:b/>
                <w:color w:val="244061" w:themeColor="accent1" w:themeShade="80"/>
              </w:rPr>
            </w:pPr>
            <w:r w:rsidRPr="009C7B69">
              <w:rPr>
                <w:b/>
                <w:color w:val="244061" w:themeColor="accent1" w:themeShade="80"/>
              </w:rPr>
              <w:t>Number of Lessons in Unit</w:t>
            </w:r>
          </w:p>
        </w:tc>
        <w:tc>
          <w:tcPr>
            <w:tcW w:w="7491" w:type="dxa"/>
            <w:tcBorders>
              <w:top w:val="single" w:sz="8" w:space="0" w:color="403152" w:themeColor="accent4" w:themeShade="80"/>
            </w:tcBorders>
            <w:shd w:val="solid" w:color="F2F2F2" w:themeColor="background1" w:themeShade="F2" w:fill="auto"/>
            <w:vAlign w:val="center"/>
          </w:tcPr>
          <w:p w:rsidR="00E8449F" w:rsidRPr="005230C1" w:rsidRDefault="00E8449F" w:rsidP="007F5F49">
            <w:pPr>
              <w:rPr>
                <w:b/>
              </w:rPr>
            </w:pPr>
            <w:r w:rsidRPr="005230C1">
              <w:rPr>
                <w:b/>
              </w:rPr>
              <w:t>13</w:t>
            </w:r>
          </w:p>
        </w:tc>
      </w:tr>
    </w:tbl>
    <w:bookmarkEnd w:id="0"/>
    <w:p w:rsidR="001F53B2" w:rsidRDefault="00B15AEC">
      <w:pPr>
        <w:pStyle w:val="Heading1"/>
      </w:pPr>
      <w:r>
        <w:t>Introduction</w:t>
      </w:r>
    </w:p>
    <w:p w:rsidR="001F53B2" w:rsidRDefault="00CD7C94" w:rsidP="00804D4C">
      <w:r>
        <w:t xml:space="preserve">In this unit, students </w:t>
      </w:r>
      <w:r w:rsidR="00630BB3">
        <w:t>revisit and further develop many</w:t>
      </w:r>
      <w:r w:rsidR="00B15AEC">
        <w:t xml:space="preserve"> of the foundational skills, practices, and routines that they </w:t>
      </w:r>
      <w:r w:rsidR="00630BB3">
        <w:t xml:space="preserve">explored in </w:t>
      </w:r>
      <w:r w:rsidR="003D05FD">
        <w:t>10.1.1</w:t>
      </w:r>
      <w:r w:rsidR="00B15AEC">
        <w:t xml:space="preserve">: close reading, annotating text, </w:t>
      </w:r>
      <w:r w:rsidR="00816969">
        <w:t xml:space="preserve">vocabulary acquisition, </w:t>
      </w:r>
      <w:r w:rsidR="00B15AEC">
        <w:t>and evidence</w:t>
      </w:r>
      <w:r w:rsidR="003D05FD">
        <w:t>-</w:t>
      </w:r>
      <w:r w:rsidR="00B15AEC">
        <w:t xml:space="preserve">based discussion and writing. </w:t>
      </w:r>
      <w:r w:rsidR="00816969">
        <w:t xml:space="preserve">Students continue to consider how authors develop central ideas, this time through fiction rather than poetry, as they read and analyze Ethan </w:t>
      </w:r>
      <w:proofErr w:type="spellStart"/>
      <w:r w:rsidR="00816969">
        <w:t>Canin’s</w:t>
      </w:r>
      <w:proofErr w:type="spellEnd"/>
      <w:r w:rsidR="00816969">
        <w:t xml:space="preserve"> </w:t>
      </w:r>
      <w:r w:rsidR="002D3064">
        <w:t>“</w:t>
      </w:r>
      <w:r w:rsidR="00816969" w:rsidRPr="002D3064">
        <w:t>The Palace Thief</w:t>
      </w:r>
      <w:r w:rsidR="00816969">
        <w:t>.</w:t>
      </w:r>
      <w:r w:rsidR="002D3064">
        <w:t>”</w:t>
      </w:r>
      <w:r w:rsidR="00816969">
        <w:t xml:space="preserve"> </w:t>
      </w:r>
      <w:r>
        <w:t>Student</w:t>
      </w:r>
      <w:r w:rsidR="002D3064">
        <w:t>s’</w:t>
      </w:r>
      <w:r>
        <w:t xml:space="preserve"> skills and analysis culminate in </w:t>
      </w:r>
      <w:r w:rsidR="002D3064">
        <w:t>a written response</w:t>
      </w:r>
      <w:r>
        <w:t xml:space="preserve"> that formally evaluates the relationship between complex characters and central ideas.</w:t>
      </w:r>
    </w:p>
    <w:p w:rsidR="00630BB3" w:rsidRDefault="00E8449F" w:rsidP="00804D4C">
      <w:r>
        <w:t>Students</w:t>
      </w:r>
      <w:r w:rsidR="00816969">
        <w:t>’ work with this text focus</w:t>
      </w:r>
      <w:r w:rsidR="003D05FD">
        <w:t>es</w:t>
      </w:r>
      <w:r w:rsidR="00816969">
        <w:t xml:space="preserve"> on how the interactions among, and development of, complex characters work to develop some of the central ideas in this text, such as the nature of character, the influence of history, and </w:t>
      </w:r>
      <w:r w:rsidR="00212D54">
        <w:t xml:space="preserve">the manifestations of power. </w:t>
      </w:r>
      <w:r w:rsidR="00CD7C94">
        <w:t>Students explore the battle of education and morals against politics, power,</w:t>
      </w:r>
      <w:r w:rsidR="00C940EF">
        <w:t xml:space="preserve"> and wealth. They also negotiate rich and colorful language to better understand the narrator </w:t>
      </w:r>
      <w:r w:rsidR="00E818E7">
        <w:t>as he interacts with</w:t>
      </w:r>
      <w:r w:rsidR="00C940EF">
        <w:t xml:space="preserve"> those around him.</w:t>
      </w:r>
    </w:p>
    <w:p w:rsidR="00C940EF" w:rsidRDefault="00C940EF" w:rsidP="00804D4C">
      <w:r>
        <w:t xml:space="preserve">For the Mid-Unit </w:t>
      </w:r>
      <w:r w:rsidR="00204072">
        <w:t>Assessment, s</w:t>
      </w:r>
      <w:r>
        <w:t>tudents compose a written response</w:t>
      </w:r>
      <w:r w:rsidR="00E818E7">
        <w:t>,</w:t>
      </w:r>
      <w:r>
        <w:t xml:space="preserve"> </w:t>
      </w:r>
      <w:r w:rsidR="00E818E7">
        <w:t>with appropriate supporting evidence, as they consider the narrator’s development over the course of the text (RL</w:t>
      </w:r>
      <w:r w:rsidR="0017225D">
        <w:t>.</w:t>
      </w:r>
      <w:r w:rsidR="00E818E7">
        <w:t>9-10.3, W</w:t>
      </w:r>
      <w:r w:rsidR="0017225D">
        <w:t>.</w:t>
      </w:r>
      <w:r w:rsidR="00E818E7">
        <w:t xml:space="preserve">9-10.2, </w:t>
      </w:r>
      <w:proofErr w:type="gramStart"/>
      <w:r w:rsidR="00E818E7">
        <w:t>W</w:t>
      </w:r>
      <w:r w:rsidR="0017225D">
        <w:t>.</w:t>
      </w:r>
      <w:r w:rsidR="00E818E7">
        <w:t>9</w:t>
      </w:r>
      <w:proofErr w:type="gramEnd"/>
      <w:r w:rsidR="00E818E7">
        <w:t>-10.9).</w:t>
      </w:r>
      <w:r w:rsidR="00212D54">
        <w:t xml:space="preserve"> Students </w:t>
      </w:r>
      <w:r w:rsidR="0098476F">
        <w:t>are</w:t>
      </w:r>
      <w:r w:rsidR="00212D54">
        <w:t xml:space="preserve"> formally assessed here on their analysis of the text and their ability to </w:t>
      </w:r>
      <w:proofErr w:type="spellStart"/>
      <w:proofErr w:type="gramStart"/>
      <w:r w:rsidR="00212D54">
        <w:t>marshall</w:t>
      </w:r>
      <w:proofErr w:type="spellEnd"/>
      <w:r w:rsidR="00212D54">
        <w:t xml:space="preserve"> evidence</w:t>
      </w:r>
      <w:proofErr w:type="gramEnd"/>
      <w:r w:rsidR="00212D54">
        <w:t xml:space="preserve"> in support of that analysis.</w:t>
      </w:r>
    </w:p>
    <w:p w:rsidR="001F53B2" w:rsidRDefault="00B15AEC" w:rsidP="00804D4C">
      <w:r>
        <w:t xml:space="preserve">At the end of the unit, students craft a multi-paragraph response </w:t>
      </w:r>
      <w:r w:rsidR="00217AC2">
        <w:t xml:space="preserve">analyzing the development of a central idea in </w:t>
      </w:r>
      <w:r w:rsidR="000541FC" w:rsidRPr="00204072">
        <w:t>“The Palace Thief</w:t>
      </w:r>
      <w:r w:rsidR="00204072">
        <w:t>,</w:t>
      </w:r>
      <w:r w:rsidR="000541FC" w:rsidRPr="00204072">
        <w:t>”</w:t>
      </w:r>
      <w:r w:rsidR="00B378FC">
        <w:t xml:space="preserve"> including how the narrator’s interactions with other characters helps contribute to this central idea (RL</w:t>
      </w:r>
      <w:r w:rsidR="0098476F">
        <w:t>.</w:t>
      </w:r>
      <w:r w:rsidR="00B378FC">
        <w:t>9-10.1, RL</w:t>
      </w:r>
      <w:r w:rsidR="0098476F">
        <w:t>.</w:t>
      </w:r>
      <w:r w:rsidR="00B378FC">
        <w:t>9-10.2, RL</w:t>
      </w:r>
      <w:r w:rsidR="0098476F">
        <w:t>.</w:t>
      </w:r>
      <w:r w:rsidR="00B378FC">
        <w:t>9-10.3, W</w:t>
      </w:r>
      <w:r w:rsidR="0098476F">
        <w:t>.</w:t>
      </w:r>
      <w:r w:rsidR="00B378FC">
        <w:t>9-10.</w:t>
      </w:r>
      <w:r w:rsidR="008062AD">
        <w:t>2</w:t>
      </w:r>
      <w:r w:rsidR="00B378FC">
        <w:t>, L</w:t>
      </w:r>
      <w:r w:rsidR="0098476F">
        <w:t>.</w:t>
      </w:r>
      <w:r w:rsidR="00B378FC">
        <w:t>9-10.1).</w:t>
      </w:r>
      <w:r w:rsidR="00131FC8">
        <w:t xml:space="preserve"> </w:t>
      </w:r>
    </w:p>
    <w:p w:rsidR="001F53B2" w:rsidRDefault="00B15AEC" w:rsidP="00804D4C">
      <w:r>
        <w:rPr>
          <w:b/>
        </w:rPr>
        <w:t>Note:</w:t>
      </w:r>
      <w:r>
        <w:t xml:space="preserve"> This unit continues Accountable Independent Reading (AIR). See Prefatory Material</w:t>
      </w:r>
      <w:r w:rsidR="00CD315B">
        <w:t xml:space="preserve"> for Grades 9–12 English Language Arts </w:t>
      </w:r>
      <w:r>
        <w:t>for more information about AIR.</w:t>
      </w:r>
      <w:bookmarkStart w:id="1" w:name="_GoBack"/>
      <w:bookmarkEnd w:id="1"/>
    </w:p>
    <w:p w:rsidR="001F53B2" w:rsidRDefault="00B15AEC">
      <w:pPr>
        <w:pStyle w:val="Heading1"/>
      </w:pPr>
      <w:r>
        <w:lastRenderedPageBreak/>
        <w:t>Literacy Skills &amp; Habits</w:t>
      </w:r>
    </w:p>
    <w:p w:rsidR="001F53B2" w:rsidRPr="00131FC8" w:rsidRDefault="00B15AEC" w:rsidP="00131FC8">
      <w:pPr>
        <w:pStyle w:val="BulletedList"/>
      </w:pPr>
      <w:r w:rsidRPr="00131FC8">
        <w:t>Read closely for textual details</w:t>
      </w:r>
    </w:p>
    <w:p w:rsidR="001F53B2" w:rsidRPr="00131FC8" w:rsidRDefault="00B15AEC" w:rsidP="00131FC8">
      <w:pPr>
        <w:pStyle w:val="BulletedList"/>
      </w:pPr>
      <w:r w:rsidRPr="00131FC8">
        <w:t>Annotate texts to support comprehension and analysis</w:t>
      </w:r>
    </w:p>
    <w:p w:rsidR="001F53B2" w:rsidRPr="00131FC8" w:rsidRDefault="00B15AEC" w:rsidP="00131FC8">
      <w:pPr>
        <w:pStyle w:val="BulletedList"/>
      </w:pPr>
      <w:r w:rsidRPr="00131FC8">
        <w:t xml:space="preserve">Engage in productive evidence-based discussions about </w:t>
      </w:r>
      <w:r w:rsidR="0098476F">
        <w:t xml:space="preserve">the </w:t>
      </w:r>
      <w:r w:rsidRPr="00131FC8">
        <w:t>text</w:t>
      </w:r>
    </w:p>
    <w:p w:rsidR="001F53B2" w:rsidRPr="00131FC8" w:rsidRDefault="00B15AEC" w:rsidP="00131FC8">
      <w:pPr>
        <w:pStyle w:val="BulletedList"/>
      </w:pPr>
      <w:r w:rsidRPr="00131FC8">
        <w:t xml:space="preserve">Collect and organize evidence from </w:t>
      </w:r>
      <w:r w:rsidR="0098476F">
        <w:t xml:space="preserve">the </w:t>
      </w:r>
      <w:r w:rsidRPr="00131FC8">
        <w:t>text to support analysis in writing</w:t>
      </w:r>
    </w:p>
    <w:p w:rsidR="001F53B2" w:rsidRPr="00131FC8" w:rsidRDefault="00B15AEC" w:rsidP="00131FC8">
      <w:pPr>
        <w:pStyle w:val="BulletedList"/>
      </w:pPr>
      <w:r w:rsidRPr="00131FC8">
        <w:t xml:space="preserve">Make claims about </w:t>
      </w:r>
      <w:r w:rsidR="004225CE" w:rsidRPr="00131FC8">
        <w:t>the text</w:t>
      </w:r>
      <w:r w:rsidRPr="00131FC8">
        <w:t xml:space="preserve"> using specific textual evidence</w:t>
      </w:r>
    </w:p>
    <w:p w:rsidR="001F53B2" w:rsidRPr="00131FC8" w:rsidRDefault="00B51807" w:rsidP="00131FC8">
      <w:pPr>
        <w:pStyle w:val="BulletedList"/>
      </w:pPr>
      <w:r w:rsidRPr="00131FC8">
        <w:t>Incorporate</w:t>
      </w:r>
      <w:r w:rsidR="00B15AEC" w:rsidRPr="00131FC8">
        <w:t xml:space="preserve"> </w:t>
      </w:r>
      <w:r w:rsidR="004225CE" w:rsidRPr="00131FC8">
        <w:t>newly learned</w:t>
      </w:r>
      <w:r w:rsidR="00B15AEC" w:rsidRPr="00131FC8">
        <w:t xml:space="preserve"> vocabulary in written and verbal responses</w:t>
      </w:r>
    </w:p>
    <w:p w:rsidR="004225CE" w:rsidRPr="00131FC8" w:rsidRDefault="004225CE" w:rsidP="00131FC8">
      <w:pPr>
        <w:pStyle w:val="BulletedList"/>
      </w:pPr>
      <w:r w:rsidRPr="00131FC8">
        <w:t>Express and analyze evolving impressions of the text as it advances</w:t>
      </w:r>
    </w:p>
    <w:p w:rsidR="001F53B2" w:rsidRDefault="00B15AEC">
      <w:pPr>
        <w:pStyle w:val="Heading1"/>
      </w:pPr>
      <w:r>
        <w:t>Standards for This Unit</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72"/>
        <w:gridCol w:w="7988"/>
      </w:tblGrid>
      <w:tr w:rsidR="007333AA" w:rsidRPr="00FE5F2C">
        <w:tc>
          <w:tcPr>
            <w:tcW w:w="9360" w:type="dxa"/>
            <w:gridSpan w:val="2"/>
            <w:shd w:val="clear" w:color="auto" w:fill="5F497A" w:themeFill="accent4" w:themeFillShade="BF"/>
          </w:tcPr>
          <w:p w:rsidR="007333AA" w:rsidRPr="00FE5F2C" w:rsidRDefault="007333AA" w:rsidP="00531582">
            <w:pPr>
              <w:pStyle w:val="TableHeaders"/>
            </w:pPr>
            <w:r w:rsidRPr="00FE5F2C">
              <w:t>CCS Standards: Reading – Literature</w:t>
            </w:r>
          </w:p>
        </w:tc>
      </w:tr>
      <w:tr w:rsidR="007333AA" w:rsidRPr="008062AD">
        <w:tc>
          <w:tcPr>
            <w:tcW w:w="1372" w:type="dxa"/>
            <w:shd w:val="clear" w:color="auto" w:fill="auto"/>
          </w:tcPr>
          <w:p w:rsidR="007333AA" w:rsidRPr="00804D4C" w:rsidRDefault="000541FC" w:rsidP="00804D4C">
            <w:pPr>
              <w:pStyle w:val="TableText"/>
              <w:rPr>
                <w:b/>
              </w:rPr>
            </w:pPr>
            <w:r w:rsidRPr="00804D4C">
              <w:rPr>
                <w:b/>
              </w:rPr>
              <w:t>RL.9-10.1</w:t>
            </w:r>
          </w:p>
        </w:tc>
        <w:tc>
          <w:tcPr>
            <w:tcW w:w="7988" w:type="dxa"/>
            <w:shd w:val="clear" w:color="auto" w:fill="auto"/>
          </w:tcPr>
          <w:p w:rsidR="007333AA" w:rsidRPr="00804D4C" w:rsidRDefault="000541FC" w:rsidP="00804D4C">
            <w:pPr>
              <w:pStyle w:val="TableText"/>
              <w:rPr>
                <w:b/>
              </w:rPr>
            </w:pPr>
            <w:r w:rsidRPr="00804D4C">
              <w:rPr>
                <w:b/>
              </w:rPr>
              <w:t>Cite strong and thorough textual evidence to support analysis of what the text says explicitly as well as inferences drawn from the text.</w:t>
            </w:r>
          </w:p>
        </w:tc>
      </w:tr>
      <w:tr w:rsidR="007333AA" w:rsidRPr="007F5F49">
        <w:tc>
          <w:tcPr>
            <w:tcW w:w="1372" w:type="dxa"/>
            <w:shd w:val="clear" w:color="auto" w:fill="auto"/>
          </w:tcPr>
          <w:p w:rsidR="007333AA" w:rsidRPr="00804D4C" w:rsidRDefault="007333AA" w:rsidP="00804D4C">
            <w:pPr>
              <w:pStyle w:val="TableText"/>
              <w:rPr>
                <w:b/>
              </w:rPr>
            </w:pPr>
            <w:r w:rsidRPr="00804D4C">
              <w:rPr>
                <w:b/>
              </w:rPr>
              <w:t>RL.9-10.2</w:t>
            </w:r>
          </w:p>
        </w:tc>
        <w:tc>
          <w:tcPr>
            <w:tcW w:w="7988" w:type="dxa"/>
            <w:shd w:val="clear" w:color="auto" w:fill="auto"/>
          </w:tcPr>
          <w:p w:rsidR="007333AA" w:rsidRPr="00804D4C" w:rsidRDefault="007333AA" w:rsidP="00804D4C">
            <w:pPr>
              <w:pStyle w:val="TableText"/>
              <w:rPr>
                <w:b/>
              </w:rPr>
            </w:pPr>
            <w:r w:rsidRPr="00804D4C">
              <w:rPr>
                <w:b/>
              </w:rPr>
              <w:t>Determine a theme or central idea of a text and analyze in detail its development over the course of the text, including how it emerges and is shaped and refined by specific details; provide an objective summary of the text.</w:t>
            </w:r>
          </w:p>
        </w:tc>
      </w:tr>
      <w:tr w:rsidR="007333AA" w:rsidRPr="007F5F49">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7333AA" w:rsidRPr="00804D4C" w:rsidRDefault="007333AA" w:rsidP="00804D4C">
            <w:pPr>
              <w:pStyle w:val="TableText"/>
              <w:rPr>
                <w:b/>
              </w:rPr>
            </w:pPr>
            <w:r w:rsidRPr="00804D4C">
              <w:rPr>
                <w:b/>
              </w:rPr>
              <w:t>RL.9-10.3</w:t>
            </w:r>
          </w:p>
        </w:tc>
        <w:tc>
          <w:tcPr>
            <w:tcW w:w="7988" w:type="dxa"/>
            <w:tcBorders>
              <w:top w:val="single" w:sz="6" w:space="0" w:color="000000"/>
              <w:left w:val="single" w:sz="6" w:space="0" w:color="000000"/>
              <w:bottom w:val="single" w:sz="6" w:space="0" w:color="000000"/>
              <w:right w:val="single" w:sz="6" w:space="0" w:color="000000"/>
            </w:tcBorders>
            <w:shd w:val="clear" w:color="auto" w:fill="auto"/>
          </w:tcPr>
          <w:p w:rsidR="007333AA" w:rsidRPr="00804D4C" w:rsidRDefault="007333AA" w:rsidP="00804D4C">
            <w:pPr>
              <w:pStyle w:val="TableText"/>
              <w:rPr>
                <w:b/>
              </w:rPr>
            </w:pPr>
            <w:r w:rsidRPr="00804D4C">
              <w:rPr>
                <w:b/>
              </w:rPr>
              <w:t>Analyze how complex characters (e.g., those with multiple or conflicting motivations) develop over the course of a text, interact with other characters, and advance the plot or develop the theme.</w:t>
            </w:r>
          </w:p>
        </w:tc>
      </w:tr>
      <w:tr w:rsidR="007333AA" w:rsidRPr="007F5F49">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7333AA" w:rsidRPr="00804D4C" w:rsidRDefault="007333AA" w:rsidP="00804D4C">
            <w:pPr>
              <w:pStyle w:val="TableText"/>
              <w:rPr>
                <w:b/>
              </w:rPr>
            </w:pPr>
            <w:r w:rsidRPr="00804D4C">
              <w:rPr>
                <w:b/>
              </w:rPr>
              <w:t>RL.9-10.4</w:t>
            </w:r>
          </w:p>
        </w:tc>
        <w:tc>
          <w:tcPr>
            <w:tcW w:w="7988" w:type="dxa"/>
            <w:tcBorders>
              <w:top w:val="single" w:sz="6" w:space="0" w:color="000000"/>
              <w:left w:val="single" w:sz="6" w:space="0" w:color="000000"/>
              <w:bottom w:val="single" w:sz="6" w:space="0" w:color="000000"/>
              <w:right w:val="single" w:sz="6" w:space="0" w:color="000000"/>
            </w:tcBorders>
            <w:shd w:val="clear" w:color="auto" w:fill="auto"/>
          </w:tcPr>
          <w:p w:rsidR="007333AA" w:rsidRPr="00804D4C" w:rsidRDefault="007333AA" w:rsidP="00804D4C">
            <w:pPr>
              <w:pStyle w:val="TableText"/>
              <w:rPr>
                <w:b/>
              </w:rPr>
            </w:pPr>
            <w:r w:rsidRPr="00804D4C">
              <w:rPr>
                <w:b/>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7333AA" w:rsidRPr="007F5F49">
        <w:tc>
          <w:tcPr>
            <w:tcW w:w="9360" w:type="dxa"/>
            <w:gridSpan w:val="2"/>
            <w:shd w:val="clear" w:color="auto" w:fill="5F497A" w:themeFill="accent4" w:themeFillShade="BF"/>
          </w:tcPr>
          <w:p w:rsidR="007333AA" w:rsidRPr="007F5F49" w:rsidRDefault="007333AA" w:rsidP="00804D4C">
            <w:pPr>
              <w:pStyle w:val="TableHeaders"/>
            </w:pPr>
            <w:r w:rsidRPr="007F5F49">
              <w:t>CCS Standards: Writing</w:t>
            </w:r>
          </w:p>
        </w:tc>
      </w:tr>
      <w:tr w:rsidR="007333AA" w:rsidRPr="007F5F49">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7333AA" w:rsidRPr="00804D4C" w:rsidRDefault="00D04230" w:rsidP="00804D4C">
            <w:pPr>
              <w:pStyle w:val="TableText"/>
              <w:rPr>
                <w:b/>
              </w:rPr>
            </w:pPr>
            <w:r w:rsidRPr="00804D4C">
              <w:rPr>
                <w:b/>
              </w:rPr>
              <w:t>W.9-10.</w:t>
            </w:r>
            <w:r w:rsidR="00220093" w:rsidRPr="00804D4C">
              <w:rPr>
                <w:b/>
              </w:rPr>
              <w:t>2</w:t>
            </w:r>
          </w:p>
        </w:tc>
        <w:tc>
          <w:tcPr>
            <w:tcW w:w="7988" w:type="dxa"/>
            <w:tcBorders>
              <w:top w:val="single" w:sz="6" w:space="0" w:color="000000"/>
              <w:left w:val="single" w:sz="6" w:space="0" w:color="000000"/>
              <w:bottom w:val="single" w:sz="6" w:space="0" w:color="000000"/>
              <w:right w:val="single" w:sz="6" w:space="0" w:color="000000"/>
            </w:tcBorders>
            <w:shd w:val="clear" w:color="auto" w:fill="auto"/>
          </w:tcPr>
          <w:p w:rsidR="007333AA" w:rsidRPr="00804D4C" w:rsidRDefault="00042CF5" w:rsidP="00804D4C">
            <w:pPr>
              <w:pStyle w:val="TableText"/>
              <w:rPr>
                <w:b/>
              </w:rPr>
            </w:pPr>
            <w:r w:rsidRPr="00804D4C">
              <w:rPr>
                <w:b/>
              </w:rPr>
              <w:t xml:space="preserve">Write informative/explanatory texts to examine and convey complex ideas, concepts, and information clearly and accurately through the effective selection, organization, and analysis of content. </w:t>
            </w:r>
          </w:p>
        </w:tc>
      </w:tr>
      <w:tr w:rsidR="00D04230" w:rsidRPr="007F5F49">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D04230" w:rsidRPr="00804D4C" w:rsidRDefault="00D04230" w:rsidP="00804D4C">
            <w:pPr>
              <w:pStyle w:val="TableText"/>
              <w:rPr>
                <w:b/>
              </w:rPr>
            </w:pPr>
            <w:r w:rsidRPr="00804D4C">
              <w:rPr>
                <w:b/>
              </w:rPr>
              <w:t>W.9-10.9</w:t>
            </w:r>
          </w:p>
        </w:tc>
        <w:tc>
          <w:tcPr>
            <w:tcW w:w="7988" w:type="dxa"/>
            <w:tcBorders>
              <w:top w:val="single" w:sz="6" w:space="0" w:color="000000"/>
              <w:left w:val="single" w:sz="6" w:space="0" w:color="000000"/>
              <w:bottom w:val="single" w:sz="6" w:space="0" w:color="000000"/>
              <w:right w:val="single" w:sz="6" w:space="0" w:color="000000"/>
            </w:tcBorders>
            <w:shd w:val="clear" w:color="auto" w:fill="auto"/>
          </w:tcPr>
          <w:p w:rsidR="00D04230" w:rsidRPr="00804D4C" w:rsidRDefault="003530D5" w:rsidP="00804D4C">
            <w:pPr>
              <w:pStyle w:val="TableText"/>
              <w:rPr>
                <w:b/>
              </w:rPr>
            </w:pPr>
            <w:r w:rsidRPr="00804D4C">
              <w:rPr>
                <w:b/>
              </w:rPr>
              <w:t>Draw evidence from literary or informational texts to support analysis, reflection, and research.</w:t>
            </w:r>
          </w:p>
        </w:tc>
      </w:tr>
      <w:tr w:rsidR="007333AA" w:rsidRPr="007F5F49">
        <w:tc>
          <w:tcPr>
            <w:tcW w:w="9360" w:type="dxa"/>
            <w:gridSpan w:val="2"/>
            <w:shd w:val="clear" w:color="auto" w:fill="5F497A" w:themeFill="accent4" w:themeFillShade="BF"/>
          </w:tcPr>
          <w:p w:rsidR="007333AA" w:rsidRPr="007F5F49" w:rsidRDefault="007333AA" w:rsidP="00804D4C">
            <w:pPr>
              <w:pStyle w:val="TableHeaders"/>
            </w:pPr>
            <w:r w:rsidRPr="007F5F49">
              <w:t>CCS Standards: Speaking &amp; Listening</w:t>
            </w:r>
          </w:p>
        </w:tc>
      </w:tr>
      <w:tr w:rsidR="007333AA" w:rsidRPr="007F5F49">
        <w:tc>
          <w:tcPr>
            <w:tcW w:w="1372" w:type="dxa"/>
            <w:shd w:val="clear" w:color="auto" w:fill="auto"/>
          </w:tcPr>
          <w:p w:rsidR="007333AA" w:rsidRPr="00220093" w:rsidRDefault="000541FC" w:rsidP="00804D4C">
            <w:pPr>
              <w:pStyle w:val="TableText"/>
            </w:pPr>
            <w:r w:rsidRPr="000541FC">
              <w:t>SL.9-10.1</w:t>
            </w:r>
          </w:p>
        </w:tc>
        <w:tc>
          <w:tcPr>
            <w:tcW w:w="7988" w:type="dxa"/>
            <w:shd w:val="clear" w:color="auto" w:fill="auto"/>
          </w:tcPr>
          <w:p w:rsidR="007333AA" w:rsidRPr="00220093" w:rsidRDefault="000541FC" w:rsidP="00804D4C">
            <w:pPr>
              <w:pStyle w:val="TableText"/>
            </w:pPr>
            <w:r w:rsidRPr="000541FC">
              <w:t xml:space="preserve">Initiate and participate effectively in a range of collaborative discussions (one-on-one, in groups, and teacher-led) with diverse partners on </w:t>
            </w:r>
            <w:r w:rsidRPr="000541FC">
              <w:rPr>
                <w:i/>
              </w:rPr>
              <w:t xml:space="preserve">grades 9–10 topics, texts, and </w:t>
            </w:r>
            <w:r w:rsidRPr="000541FC">
              <w:rPr>
                <w:i/>
              </w:rPr>
              <w:lastRenderedPageBreak/>
              <w:t>issues</w:t>
            </w:r>
            <w:r w:rsidRPr="000541FC">
              <w:t>, building on others’ ideas and expressing their own clearly and persuasively.</w:t>
            </w:r>
          </w:p>
        </w:tc>
      </w:tr>
      <w:tr w:rsidR="003530D5" w:rsidRPr="007F5F49">
        <w:tc>
          <w:tcPr>
            <w:tcW w:w="1372" w:type="dxa"/>
            <w:tcBorders>
              <w:bottom w:val="single" w:sz="6" w:space="0" w:color="000000"/>
            </w:tcBorders>
            <w:shd w:val="clear" w:color="auto" w:fill="auto"/>
          </w:tcPr>
          <w:p w:rsidR="003530D5" w:rsidRPr="00220093" w:rsidRDefault="000541FC" w:rsidP="00804D4C">
            <w:pPr>
              <w:pStyle w:val="TableText"/>
            </w:pPr>
            <w:r w:rsidRPr="000541FC">
              <w:lastRenderedPageBreak/>
              <w:t>SL.9-10.4</w:t>
            </w:r>
          </w:p>
        </w:tc>
        <w:tc>
          <w:tcPr>
            <w:tcW w:w="7988" w:type="dxa"/>
            <w:tcBorders>
              <w:bottom w:val="single" w:sz="6" w:space="0" w:color="000000"/>
            </w:tcBorders>
            <w:shd w:val="clear" w:color="auto" w:fill="auto"/>
          </w:tcPr>
          <w:p w:rsidR="003530D5" w:rsidRPr="00220093" w:rsidRDefault="000541FC" w:rsidP="00804D4C">
            <w:pPr>
              <w:pStyle w:val="TableText"/>
            </w:pPr>
            <w:r w:rsidRPr="000541FC">
              <w:t>Present information, findings, and supporting evidence clearly, concisely, and logically such that listeners can follow the line of reasoning and the organization, development, substance, and style are appropriate to purpose, audience, and task.</w:t>
            </w:r>
          </w:p>
        </w:tc>
      </w:tr>
      <w:tr w:rsidR="007333AA" w:rsidRPr="007F5F49">
        <w:tc>
          <w:tcPr>
            <w:tcW w:w="9360" w:type="dxa"/>
            <w:gridSpan w:val="2"/>
            <w:shd w:val="clear" w:color="auto" w:fill="5F497A" w:themeFill="accent4" w:themeFillShade="BF"/>
          </w:tcPr>
          <w:p w:rsidR="007333AA" w:rsidRPr="007F5F49" w:rsidRDefault="007333AA" w:rsidP="00531582">
            <w:pPr>
              <w:pStyle w:val="TableHeaders"/>
            </w:pPr>
            <w:r w:rsidRPr="007F5F49">
              <w:t>CCS Standards: Language</w:t>
            </w:r>
          </w:p>
        </w:tc>
      </w:tr>
      <w:tr w:rsidR="007333AA" w:rsidRPr="007F5F49">
        <w:tc>
          <w:tcPr>
            <w:tcW w:w="1372" w:type="dxa"/>
            <w:shd w:val="clear" w:color="auto" w:fill="auto"/>
          </w:tcPr>
          <w:p w:rsidR="007333AA" w:rsidRPr="00804D4C" w:rsidRDefault="000541FC" w:rsidP="00804D4C">
            <w:pPr>
              <w:pStyle w:val="TableText"/>
              <w:rPr>
                <w:b/>
              </w:rPr>
            </w:pPr>
            <w:r w:rsidRPr="00804D4C">
              <w:rPr>
                <w:b/>
              </w:rPr>
              <w:t>L.9-10.1</w:t>
            </w:r>
          </w:p>
        </w:tc>
        <w:tc>
          <w:tcPr>
            <w:tcW w:w="7988" w:type="dxa"/>
            <w:shd w:val="clear" w:color="auto" w:fill="auto"/>
          </w:tcPr>
          <w:p w:rsidR="003530D5" w:rsidRPr="00804D4C" w:rsidRDefault="000541FC" w:rsidP="00804D4C">
            <w:pPr>
              <w:pStyle w:val="TableText"/>
              <w:rPr>
                <w:b/>
              </w:rPr>
            </w:pPr>
            <w:r w:rsidRPr="00804D4C">
              <w:rPr>
                <w:b/>
              </w:rPr>
              <w:t>Demonstrate command of the conventions of standard English grammar and usage when writing or speaking.</w:t>
            </w:r>
          </w:p>
        </w:tc>
      </w:tr>
      <w:tr w:rsidR="00AB0486" w:rsidRPr="007F5F49">
        <w:tc>
          <w:tcPr>
            <w:tcW w:w="1372" w:type="dxa"/>
            <w:shd w:val="clear" w:color="auto" w:fill="auto"/>
          </w:tcPr>
          <w:p w:rsidR="00AB0486" w:rsidRPr="00804D4C" w:rsidRDefault="00AB0486" w:rsidP="00804D4C">
            <w:pPr>
              <w:pStyle w:val="TableText"/>
              <w:rPr>
                <w:b/>
              </w:rPr>
            </w:pPr>
            <w:r w:rsidRPr="00804D4C">
              <w:rPr>
                <w:b/>
              </w:rPr>
              <w:t>L.9-10.5</w:t>
            </w:r>
          </w:p>
        </w:tc>
        <w:tc>
          <w:tcPr>
            <w:tcW w:w="7988" w:type="dxa"/>
            <w:shd w:val="clear" w:color="auto" w:fill="auto"/>
          </w:tcPr>
          <w:p w:rsidR="00AB0486" w:rsidRPr="00804D4C" w:rsidRDefault="00AB0486" w:rsidP="00804D4C">
            <w:pPr>
              <w:pStyle w:val="TableText"/>
              <w:rPr>
                <w:b/>
              </w:rPr>
            </w:pPr>
            <w:r w:rsidRPr="00804D4C">
              <w:rPr>
                <w:b/>
              </w:rPr>
              <w:t>Demonstrate understanding of figurative language, word relationships, and nuances in word meanings.</w:t>
            </w:r>
          </w:p>
        </w:tc>
      </w:tr>
    </w:tbl>
    <w:p w:rsidR="007B2B7C" w:rsidRDefault="007F5F49" w:rsidP="007F5F49">
      <w:r>
        <w:rPr>
          <w:b/>
        </w:rPr>
        <w:t>Note:</w:t>
      </w:r>
      <w:r>
        <w:t xml:space="preserve"> Bold text indicates </w:t>
      </w:r>
      <w:r w:rsidR="0017225D">
        <w:t xml:space="preserve">the </w:t>
      </w:r>
      <w:r>
        <w:t>targeted standards assessed in th</w:t>
      </w:r>
      <w:r w:rsidR="0017225D">
        <w:t>is</w:t>
      </w:r>
      <w:r>
        <w:t xml:space="preserve"> unit.</w:t>
      </w:r>
    </w:p>
    <w:p w:rsidR="001F53B2" w:rsidRDefault="00B15AEC">
      <w:pPr>
        <w:pStyle w:val="Heading1"/>
      </w:pPr>
      <w:r>
        <w:t>Unit Assessments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13"/>
        <w:gridCol w:w="7547"/>
      </w:tblGrid>
      <w:tr w:rsidR="009C02A7">
        <w:tc>
          <w:tcPr>
            <w:tcW w:w="9360" w:type="dxa"/>
            <w:gridSpan w:val="2"/>
            <w:shd w:val="clear" w:color="auto" w:fill="5F497A"/>
            <w:tcMar>
              <w:top w:w="100" w:type="dxa"/>
              <w:left w:w="108" w:type="dxa"/>
              <w:bottom w:w="100" w:type="dxa"/>
              <w:right w:w="108" w:type="dxa"/>
            </w:tcMar>
          </w:tcPr>
          <w:p w:rsidR="009C02A7" w:rsidRDefault="009C02A7" w:rsidP="002C75B3">
            <w:pPr>
              <w:pStyle w:val="TableHeaders"/>
            </w:pPr>
            <w:r>
              <w:t>Ongoing Assessment</w:t>
            </w:r>
          </w:p>
        </w:tc>
      </w:tr>
      <w:tr w:rsidR="001F53B2">
        <w:tc>
          <w:tcPr>
            <w:tcW w:w="1813" w:type="dxa"/>
            <w:tcMar>
              <w:top w:w="100" w:type="dxa"/>
              <w:left w:w="108" w:type="dxa"/>
              <w:bottom w:w="100" w:type="dxa"/>
              <w:right w:w="108" w:type="dxa"/>
            </w:tcMar>
          </w:tcPr>
          <w:p w:rsidR="001F53B2" w:rsidRPr="00804D4C" w:rsidRDefault="00B15AEC" w:rsidP="00804D4C">
            <w:pPr>
              <w:pStyle w:val="TableText"/>
              <w:rPr>
                <w:b/>
              </w:rPr>
            </w:pPr>
            <w:r w:rsidRPr="00804D4C">
              <w:rPr>
                <w:b/>
              </w:rPr>
              <w:t>Standards Assessed</w:t>
            </w:r>
          </w:p>
        </w:tc>
        <w:tc>
          <w:tcPr>
            <w:tcW w:w="7547" w:type="dxa"/>
            <w:tcMar>
              <w:top w:w="100" w:type="dxa"/>
              <w:left w:w="108" w:type="dxa"/>
              <w:bottom w:w="100" w:type="dxa"/>
              <w:right w:w="108" w:type="dxa"/>
            </w:tcMar>
          </w:tcPr>
          <w:p w:rsidR="001F53B2" w:rsidRPr="00804D4C" w:rsidRDefault="00AF42BE" w:rsidP="00804D4C">
            <w:pPr>
              <w:pStyle w:val="TableText"/>
            </w:pPr>
            <w:r w:rsidRPr="00804D4C">
              <w:t>RL</w:t>
            </w:r>
            <w:r w:rsidR="0017225D" w:rsidRPr="00804D4C">
              <w:t>.</w:t>
            </w:r>
            <w:r w:rsidRPr="00804D4C">
              <w:t>9-10.2, RL</w:t>
            </w:r>
            <w:r w:rsidR="0017225D" w:rsidRPr="00804D4C">
              <w:t>.</w:t>
            </w:r>
            <w:r w:rsidRPr="00804D4C">
              <w:t>9-10.3, RL</w:t>
            </w:r>
            <w:r w:rsidR="0017225D" w:rsidRPr="00804D4C">
              <w:t>.</w:t>
            </w:r>
            <w:r w:rsidRPr="00804D4C">
              <w:t>9-1</w:t>
            </w:r>
            <w:r w:rsidR="00AB0486" w:rsidRPr="00804D4C">
              <w:t xml:space="preserve">0.4, </w:t>
            </w:r>
            <w:r w:rsidR="00F25C20" w:rsidRPr="00804D4C">
              <w:t>W.9-10.</w:t>
            </w:r>
            <w:r w:rsidR="002A393D" w:rsidRPr="00804D4C">
              <w:t>2</w:t>
            </w:r>
            <w:r w:rsidR="00F25C20" w:rsidRPr="00804D4C">
              <w:t xml:space="preserve">, </w:t>
            </w:r>
            <w:r w:rsidR="005F5EBE" w:rsidRPr="00804D4C">
              <w:t>W</w:t>
            </w:r>
            <w:r w:rsidR="0017225D" w:rsidRPr="00804D4C">
              <w:t>.</w:t>
            </w:r>
            <w:r w:rsidR="005F5EBE" w:rsidRPr="00804D4C">
              <w:t>9-10.9, L</w:t>
            </w:r>
            <w:r w:rsidR="0017225D" w:rsidRPr="00804D4C">
              <w:t>.</w:t>
            </w:r>
            <w:r w:rsidR="005F5EBE" w:rsidRPr="00804D4C">
              <w:t>9-10.5</w:t>
            </w:r>
          </w:p>
        </w:tc>
      </w:tr>
      <w:tr w:rsidR="001F53B2" w:rsidTr="000D1C36">
        <w:trPr>
          <w:trHeight w:val="916"/>
        </w:trPr>
        <w:tc>
          <w:tcPr>
            <w:tcW w:w="1813" w:type="dxa"/>
            <w:tcMar>
              <w:top w:w="100" w:type="dxa"/>
              <w:left w:w="108" w:type="dxa"/>
              <w:bottom w:w="100" w:type="dxa"/>
              <w:right w:w="108" w:type="dxa"/>
            </w:tcMar>
          </w:tcPr>
          <w:p w:rsidR="001F53B2" w:rsidRPr="00804D4C" w:rsidRDefault="00B15AEC" w:rsidP="00804D4C">
            <w:pPr>
              <w:pStyle w:val="TableText"/>
              <w:rPr>
                <w:b/>
              </w:rPr>
            </w:pPr>
            <w:r w:rsidRPr="00804D4C">
              <w:rPr>
                <w:b/>
              </w:rPr>
              <w:t>Description of Assessment</w:t>
            </w:r>
          </w:p>
        </w:tc>
        <w:tc>
          <w:tcPr>
            <w:tcW w:w="7547" w:type="dxa"/>
            <w:tcMar>
              <w:top w:w="100" w:type="dxa"/>
              <w:left w:w="108" w:type="dxa"/>
              <w:bottom w:w="100" w:type="dxa"/>
              <w:right w:w="108" w:type="dxa"/>
            </w:tcMar>
          </w:tcPr>
          <w:p w:rsidR="001F53B2" w:rsidRPr="00804D4C" w:rsidRDefault="007824E8" w:rsidP="00804D4C">
            <w:pPr>
              <w:pStyle w:val="TableText"/>
            </w:pPr>
            <w:r w:rsidRPr="00804D4C">
              <w:t xml:space="preserve">Varies by lesson but may include discussion of questions and development of written responses to prompts that ask students to analyze the evolution of characters and central ideas in the text. </w:t>
            </w:r>
          </w:p>
        </w:tc>
      </w:tr>
    </w:tbl>
    <w:p w:rsidR="001F53B2" w:rsidRDefault="001F53B2">
      <w:pPr>
        <w:spacing w:before="0" w:after="0" w:line="240" w:lineRule="auto"/>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13"/>
        <w:gridCol w:w="7547"/>
      </w:tblGrid>
      <w:tr w:rsidR="009C02A7">
        <w:tc>
          <w:tcPr>
            <w:tcW w:w="9360" w:type="dxa"/>
            <w:gridSpan w:val="2"/>
            <w:shd w:val="clear" w:color="auto" w:fill="5F497A"/>
            <w:tcMar>
              <w:top w:w="100" w:type="dxa"/>
              <w:left w:w="108" w:type="dxa"/>
              <w:bottom w:w="100" w:type="dxa"/>
              <w:right w:w="108" w:type="dxa"/>
            </w:tcMar>
          </w:tcPr>
          <w:p w:rsidR="009C02A7" w:rsidRDefault="009C02A7" w:rsidP="00584311">
            <w:pPr>
              <w:pStyle w:val="TableHeaders"/>
            </w:pPr>
            <w:r>
              <w:t>End-of-Unit Assessment</w:t>
            </w:r>
          </w:p>
        </w:tc>
      </w:tr>
      <w:tr w:rsidR="001F53B2">
        <w:tc>
          <w:tcPr>
            <w:tcW w:w="1813" w:type="dxa"/>
            <w:tcMar>
              <w:top w:w="100" w:type="dxa"/>
              <w:left w:w="108" w:type="dxa"/>
              <w:bottom w:w="100" w:type="dxa"/>
              <w:right w:w="108" w:type="dxa"/>
            </w:tcMar>
          </w:tcPr>
          <w:p w:rsidR="001F53B2" w:rsidRPr="00804D4C" w:rsidRDefault="00B15AEC" w:rsidP="00804D4C">
            <w:pPr>
              <w:pStyle w:val="TableText"/>
              <w:rPr>
                <w:b/>
              </w:rPr>
            </w:pPr>
            <w:r w:rsidRPr="00804D4C">
              <w:rPr>
                <w:b/>
              </w:rPr>
              <w:t>Standards Assessed</w:t>
            </w:r>
          </w:p>
        </w:tc>
        <w:tc>
          <w:tcPr>
            <w:tcW w:w="7547" w:type="dxa"/>
            <w:tcMar>
              <w:top w:w="100" w:type="dxa"/>
              <w:left w:w="108" w:type="dxa"/>
              <w:bottom w:w="100" w:type="dxa"/>
              <w:right w:w="108" w:type="dxa"/>
            </w:tcMar>
          </w:tcPr>
          <w:p w:rsidR="001F53B2" w:rsidRDefault="007824E8" w:rsidP="002C75B3">
            <w:pPr>
              <w:pStyle w:val="TableText"/>
            </w:pPr>
            <w:r>
              <w:t>RL</w:t>
            </w:r>
            <w:r w:rsidR="0017225D">
              <w:t>.</w:t>
            </w:r>
            <w:r>
              <w:t>9-10.2, RL</w:t>
            </w:r>
            <w:r w:rsidR="0017225D">
              <w:t>.</w:t>
            </w:r>
            <w:r>
              <w:t>9-10.3</w:t>
            </w:r>
          </w:p>
        </w:tc>
      </w:tr>
      <w:tr w:rsidR="001F53B2">
        <w:trPr>
          <w:trHeight w:val="740"/>
        </w:trPr>
        <w:tc>
          <w:tcPr>
            <w:tcW w:w="1813" w:type="dxa"/>
            <w:tcMar>
              <w:top w:w="100" w:type="dxa"/>
              <w:left w:w="108" w:type="dxa"/>
              <w:bottom w:w="100" w:type="dxa"/>
              <w:right w:w="108" w:type="dxa"/>
            </w:tcMar>
          </w:tcPr>
          <w:p w:rsidR="001F53B2" w:rsidRPr="00804D4C" w:rsidRDefault="00B15AEC" w:rsidP="00804D4C">
            <w:pPr>
              <w:pStyle w:val="TableText"/>
              <w:rPr>
                <w:b/>
              </w:rPr>
            </w:pPr>
            <w:r w:rsidRPr="00804D4C">
              <w:rPr>
                <w:b/>
              </w:rPr>
              <w:t>Description of Assessment</w:t>
            </w:r>
          </w:p>
        </w:tc>
        <w:tc>
          <w:tcPr>
            <w:tcW w:w="7547" w:type="dxa"/>
            <w:tcMar>
              <w:top w:w="100" w:type="dxa"/>
              <w:left w:w="108" w:type="dxa"/>
              <w:bottom w:w="100" w:type="dxa"/>
              <w:right w:w="108" w:type="dxa"/>
            </w:tcMar>
          </w:tcPr>
          <w:p w:rsidR="001F53B2" w:rsidRPr="000D1C36" w:rsidRDefault="00B15AEC" w:rsidP="000D1C36">
            <w:pPr>
              <w:pStyle w:val="TableText"/>
            </w:pPr>
            <w:r w:rsidRPr="000D1C36">
              <w:t>Students use the skills and habits they have been building throughout the unit to craft a multi</w:t>
            </w:r>
            <w:r w:rsidR="0017225D" w:rsidRPr="000D1C36">
              <w:t>-</w:t>
            </w:r>
            <w:r w:rsidRPr="000D1C36">
              <w:t xml:space="preserve">paragraph response to the </w:t>
            </w:r>
            <w:r w:rsidR="0017225D" w:rsidRPr="000D1C36">
              <w:t>E</w:t>
            </w:r>
            <w:r w:rsidRPr="000D1C36">
              <w:t>nd</w:t>
            </w:r>
            <w:r w:rsidR="0017225D" w:rsidRPr="000D1C36">
              <w:t>-</w:t>
            </w:r>
            <w:r w:rsidRPr="000D1C36">
              <w:t>of</w:t>
            </w:r>
            <w:r w:rsidR="0017225D" w:rsidRPr="000D1C36">
              <w:t>-U</w:t>
            </w:r>
            <w:r w:rsidRPr="000D1C36">
              <w:t xml:space="preserve">nit </w:t>
            </w:r>
            <w:r w:rsidR="0017225D" w:rsidRPr="000D1C36">
              <w:t>A</w:t>
            </w:r>
            <w:r w:rsidRPr="000D1C36">
              <w:t xml:space="preserve">ssessment prompt: </w:t>
            </w:r>
            <w:r w:rsidR="007824E8" w:rsidRPr="000D1C36">
              <w:t>What central idea is developed in “</w:t>
            </w:r>
            <w:r w:rsidR="000541FC" w:rsidRPr="000D1C36">
              <w:t>The Palace Thief</w:t>
            </w:r>
            <w:r w:rsidR="007824E8" w:rsidRPr="000D1C36">
              <w:t>”? Students should consider how the narrator and his interaction with other characters help develop the central idea. Students should cite evidence and incorporate vocabulary words from the text to support their responses.</w:t>
            </w:r>
          </w:p>
        </w:tc>
      </w:tr>
    </w:tbl>
    <w:p w:rsidR="001F53B2" w:rsidRDefault="00B15AEC">
      <w:pPr>
        <w:pStyle w:val="Heading1"/>
      </w:pPr>
      <w:r>
        <w:lastRenderedPageBreak/>
        <w:t>Unit-at-a-Glance Calendar</w:t>
      </w:r>
    </w:p>
    <w:tbl>
      <w:tblPr>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92"/>
        <w:gridCol w:w="2309"/>
        <w:gridCol w:w="6249"/>
      </w:tblGrid>
      <w:tr w:rsidR="001F53B2">
        <w:trPr>
          <w:tblHeader/>
        </w:trPr>
        <w:tc>
          <w:tcPr>
            <w:tcW w:w="892" w:type="dxa"/>
            <w:shd w:val="clear" w:color="auto" w:fill="5F497A"/>
            <w:tcMar>
              <w:top w:w="100" w:type="dxa"/>
              <w:left w:w="115" w:type="dxa"/>
              <w:bottom w:w="100" w:type="dxa"/>
              <w:right w:w="115" w:type="dxa"/>
            </w:tcMar>
            <w:vAlign w:val="center"/>
          </w:tcPr>
          <w:p w:rsidR="001F53B2" w:rsidRPr="006F61C4" w:rsidRDefault="00B15AEC" w:rsidP="00584311">
            <w:pPr>
              <w:pStyle w:val="TableHeaders"/>
            </w:pPr>
            <w:r w:rsidRPr="006F61C4">
              <w:t>Lesson</w:t>
            </w:r>
          </w:p>
        </w:tc>
        <w:tc>
          <w:tcPr>
            <w:tcW w:w="2309" w:type="dxa"/>
            <w:shd w:val="clear" w:color="auto" w:fill="5F497A"/>
            <w:tcMar>
              <w:top w:w="100" w:type="dxa"/>
              <w:left w:w="115" w:type="dxa"/>
              <w:bottom w:w="100" w:type="dxa"/>
              <w:right w:w="115" w:type="dxa"/>
            </w:tcMar>
            <w:vAlign w:val="center"/>
          </w:tcPr>
          <w:p w:rsidR="001F53B2" w:rsidRPr="006F61C4" w:rsidRDefault="00B15AEC" w:rsidP="00584311">
            <w:pPr>
              <w:pStyle w:val="TableHeaders"/>
            </w:pPr>
            <w:r w:rsidRPr="006F61C4">
              <w:t>Text</w:t>
            </w:r>
          </w:p>
        </w:tc>
        <w:tc>
          <w:tcPr>
            <w:tcW w:w="6249" w:type="dxa"/>
            <w:shd w:val="clear" w:color="auto" w:fill="5F497A"/>
            <w:tcMar>
              <w:top w:w="100" w:type="dxa"/>
              <w:left w:w="115" w:type="dxa"/>
              <w:bottom w:w="100" w:type="dxa"/>
              <w:right w:w="115" w:type="dxa"/>
            </w:tcMar>
            <w:vAlign w:val="center"/>
          </w:tcPr>
          <w:p w:rsidR="001F53B2" w:rsidRPr="006F61C4" w:rsidRDefault="00B15AEC" w:rsidP="00584311">
            <w:pPr>
              <w:pStyle w:val="TableHeaders"/>
            </w:pPr>
            <w:r w:rsidRPr="006F61C4">
              <w:t>Learning Outcomes/Goals</w:t>
            </w:r>
          </w:p>
        </w:tc>
      </w:tr>
      <w:tr w:rsidR="001F53B2">
        <w:tc>
          <w:tcPr>
            <w:tcW w:w="892" w:type="dxa"/>
            <w:shd w:val="clear" w:color="auto" w:fill="FFFFFF"/>
            <w:tcMar>
              <w:top w:w="100" w:type="dxa"/>
              <w:left w:w="115" w:type="dxa"/>
              <w:bottom w:w="100" w:type="dxa"/>
              <w:right w:w="115" w:type="dxa"/>
            </w:tcMar>
          </w:tcPr>
          <w:p w:rsidR="001F53B2" w:rsidRDefault="00B15AEC" w:rsidP="00804D4C">
            <w:pPr>
              <w:pStyle w:val="TableText"/>
            </w:pPr>
            <w:r>
              <w:t>1</w:t>
            </w:r>
          </w:p>
        </w:tc>
        <w:tc>
          <w:tcPr>
            <w:tcW w:w="2309" w:type="dxa"/>
            <w:shd w:val="clear" w:color="auto" w:fill="FFFFFF"/>
            <w:tcMar>
              <w:top w:w="100" w:type="dxa"/>
              <w:left w:w="115" w:type="dxa"/>
              <w:bottom w:w="100" w:type="dxa"/>
              <w:right w:w="115" w:type="dxa"/>
            </w:tcMar>
          </w:tcPr>
          <w:p w:rsidR="001F53B2" w:rsidRDefault="00692CBE" w:rsidP="00804D4C">
            <w:pPr>
              <w:pStyle w:val="TableText"/>
            </w:pPr>
            <w:r>
              <w:t>“I tell this story not for my own honor” to “and therefore I called him into my office” (pp. 155</w:t>
            </w:r>
            <w:r w:rsidR="007271C6">
              <w:t>–</w:t>
            </w:r>
            <w:r>
              <w:t>160).</w:t>
            </w:r>
          </w:p>
        </w:tc>
        <w:tc>
          <w:tcPr>
            <w:tcW w:w="6249" w:type="dxa"/>
            <w:shd w:val="clear" w:color="auto" w:fill="FFFFFF"/>
            <w:tcMar>
              <w:top w:w="100" w:type="dxa"/>
              <w:left w:w="115" w:type="dxa"/>
              <w:bottom w:w="100" w:type="dxa"/>
              <w:right w:w="115" w:type="dxa"/>
            </w:tcMar>
          </w:tcPr>
          <w:p w:rsidR="001F53B2" w:rsidRDefault="005C3830" w:rsidP="00804D4C">
            <w:pPr>
              <w:pStyle w:val="TableText"/>
            </w:pPr>
            <w:r>
              <w:t>Students are introduced to two of the narrator’s relationships in “</w:t>
            </w:r>
            <w:r w:rsidR="000541FC" w:rsidRPr="007271C6">
              <w:t>The Palace Thief</w:t>
            </w:r>
            <w:r>
              <w:t>” involving his school and a problematic student.</w:t>
            </w:r>
            <w:r w:rsidR="00131FC8">
              <w:t xml:space="preserve"> </w:t>
            </w:r>
            <w:r>
              <w:t xml:space="preserve">Because this is the first lesson of the unit, students revisit annotation techniques discussed in </w:t>
            </w:r>
            <w:r w:rsidR="00900550">
              <w:t>10.1.1</w:t>
            </w:r>
            <w:r>
              <w:t xml:space="preserve">. </w:t>
            </w:r>
          </w:p>
        </w:tc>
      </w:tr>
      <w:tr w:rsidR="001F53B2">
        <w:tc>
          <w:tcPr>
            <w:tcW w:w="892" w:type="dxa"/>
            <w:shd w:val="clear" w:color="auto" w:fill="FFFFFF"/>
            <w:tcMar>
              <w:top w:w="100" w:type="dxa"/>
              <w:left w:w="115" w:type="dxa"/>
              <w:bottom w:w="100" w:type="dxa"/>
              <w:right w:w="115" w:type="dxa"/>
            </w:tcMar>
          </w:tcPr>
          <w:p w:rsidR="001F53B2" w:rsidRDefault="00B15AEC" w:rsidP="00804D4C">
            <w:pPr>
              <w:pStyle w:val="TableText"/>
            </w:pPr>
            <w:r>
              <w:t>2</w:t>
            </w:r>
          </w:p>
        </w:tc>
        <w:tc>
          <w:tcPr>
            <w:tcW w:w="2309" w:type="dxa"/>
            <w:shd w:val="clear" w:color="auto" w:fill="FFFFFF"/>
            <w:tcMar>
              <w:top w:w="100" w:type="dxa"/>
              <w:left w:w="115" w:type="dxa"/>
              <w:bottom w:w="100" w:type="dxa"/>
              <w:right w:w="115" w:type="dxa"/>
            </w:tcMar>
          </w:tcPr>
          <w:p w:rsidR="001F53B2" w:rsidRDefault="00692CBE" w:rsidP="00804D4C">
            <w:pPr>
              <w:pStyle w:val="TableText"/>
            </w:pPr>
            <w:r>
              <w:t>“In those days I lived in small quarters” to “My heart warmed somewhat toward young Sedgewick” (pp. 160</w:t>
            </w:r>
            <w:r w:rsidR="007271C6">
              <w:t>–</w:t>
            </w:r>
            <w:r>
              <w:t>164).</w:t>
            </w:r>
          </w:p>
        </w:tc>
        <w:tc>
          <w:tcPr>
            <w:tcW w:w="6249" w:type="dxa"/>
            <w:shd w:val="clear" w:color="auto" w:fill="FFFFFF"/>
            <w:tcMar>
              <w:top w:w="100" w:type="dxa"/>
              <w:left w:w="115" w:type="dxa"/>
              <w:bottom w:w="100" w:type="dxa"/>
              <w:right w:w="115" w:type="dxa"/>
            </w:tcMar>
          </w:tcPr>
          <w:p w:rsidR="001F53B2" w:rsidRDefault="005C3830" w:rsidP="00804D4C">
            <w:pPr>
              <w:pStyle w:val="TableText"/>
            </w:pPr>
            <w:r>
              <w:t xml:space="preserve">Students further explore the character of the narrator as he meets with a student’s father, a powerful politician. </w:t>
            </w:r>
            <w:r w:rsidR="00267CC0">
              <w:t>Students cite textual evidence as they analyze character development in the text through discussion and written responses.</w:t>
            </w:r>
          </w:p>
        </w:tc>
      </w:tr>
      <w:tr w:rsidR="001F53B2">
        <w:tc>
          <w:tcPr>
            <w:tcW w:w="892" w:type="dxa"/>
            <w:shd w:val="clear" w:color="auto" w:fill="FFFFFF"/>
            <w:tcMar>
              <w:top w:w="100" w:type="dxa"/>
              <w:left w:w="115" w:type="dxa"/>
              <w:bottom w:w="100" w:type="dxa"/>
              <w:right w:w="115" w:type="dxa"/>
            </w:tcMar>
          </w:tcPr>
          <w:p w:rsidR="001F53B2" w:rsidRDefault="00B15AEC" w:rsidP="00804D4C">
            <w:pPr>
              <w:pStyle w:val="TableText"/>
            </w:pPr>
            <w:r>
              <w:t>3</w:t>
            </w:r>
          </w:p>
        </w:tc>
        <w:tc>
          <w:tcPr>
            <w:tcW w:w="2309" w:type="dxa"/>
            <w:shd w:val="clear" w:color="auto" w:fill="FFFFFF"/>
            <w:tcMar>
              <w:top w:w="100" w:type="dxa"/>
              <w:left w:w="115" w:type="dxa"/>
              <w:bottom w:w="100" w:type="dxa"/>
              <w:right w:w="115" w:type="dxa"/>
            </w:tcMar>
          </w:tcPr>
          <w:p w:rsidR="001F53B2" w:rsidRDefault="00692CBE" w:rsidP="00804D4C">
            <w:pPr>
              <w:pStyle w:val="TableText"/>
            </w:pPr>
            <w:r>
              <w:t>“</w:t>
            </w:r>
            <w:r w:rsidR="00232AF2">
              <w:t>Back at St. Benedict’s, furthermore, I saw that my words” to “and it was at that moment I realized he was cheating” (p</w:t>
            </w:r>
            <w:r w:rsidR="00804D4C">
              <w:t>p.</w:t>
            </w:r>
            <w:r w:rsidR="00232AF2">
              <w:t xml:space="preserve"> 164</w:t>
            </w:r>
            <w:r w:rsidR="007271C6">
              <w:t>–</w:t>
            </w:r>
            <w:r w:rsidR="00232AF2">
              <w:t>168).</w:t>
            </w:r>
          </w:p>
        </w:tc>
        <w:tc>
          <w:tcPr>
            <w:tcW w:w="6249" w:type="dxa"/>
            <w:shd w:val="clear" w:color="auto" w:fill="FFFFFF"/>
            <w:tcMar>
              <w:top w:w="100" w:type="dxa"/>
              <w:left w:w="115" w:type="dxa"/>
              <w:bottom w:w="100" w:type="dxa"/>
              <w:right w:w="115" w:type="dxa"/>
            </w:tcMar>
          </w:tcPr>
          <w:p w:rsidR="001F53B2" w:rsidRDefault="006F61C4" w:rsidP="00804D4C">
            <w:pPr>
              <w:pStyle w:val="TableText"/>
            </w:pPr>
            <w:r>
              <w:t xml:space="preserve">Students engage in evidence-based discussion and collaborate to investigate the weight of the decisions that the narrator makes during the Mr. Julius Caesar competition. Students investigate how these decisions contribute to the development of a central idea. </w:t>
            </w:r>
          </w:p>
        </w:tc>
      </w:tr>
      <w:tr w:rsidR="001F53B2">
        <w:tc>
          <w:tcPr>
            <w:tcW w:w="892" w:type="dxa"/>
            <w:shd w:val="clear" w:color="auto" w:fill="FFFFFF"/>
            <w:tcMar>
              <w:top w:w="100" w:type="dxa"/>
              <w:left w:w="115" w:type="dxa"/>
              <w:bottom w:w="100" w:type="dxa"/>
              <w:right w:w="115" w:type="dxa"/>
            </w:tcMar>
          </w:tcPr>
          <w:p w:rsidR="001F53B2" w:rsidRDefault="00B15AEC" w:rsidP="00804D4C">
            <w:pPr>
              <w:pStyle w:val="TableText"/>
            </w:pPr>
            <w:r>
              <w:t>4</w:t>
            </w:r>
          </w:p>
        </w:tc>
        <w:tc>
          <w:tcPr>
            <w:tcW w:w="2309" w:type="dxa"/>
            <w:shd w:val="clear" w:color="auto" w:fill="FFFFFF"/>
            <w:tcMar>
              <w:top w:w="100" w:type="dxa"/>
              <w:left w:w="115" w:type="dxa"/>
              <w:bottom w:w="100" w:type="dxa"/>
              <w:right w:w="115" w:type="dxa"/>
            </w:tcMar>
          </w:tcPr>
          <w:p w:rsidR="001F53B2" w:rsidRDefault="00232AF2" w:rsidP="00804D4C">
            <w:pPr>
              <w:pStyle w:val="TableText"/>
            </w:pPr>
            <w:r>
              <w:t>“I had come to the job straight fr</w:t>
            </w:r>
            <w:r w:rsidR="00900550">
              <w:t>o</w:t>
            </w:r>
            <w:r>
              <w:t>m my degree at Carleton College” to “I could see the sheets of my ‘Outline’ pressed against the inside of his garment” (pp. 168</w:t>
            </w:r>
            <w:r w:rsidR="007271C6">
              <w:t>–</w:t>
            </w:r>
            <w:r>
              <w:t>171).</w:t>
            </w:r>
          </w:p>
        </w:tc>
        <w:tc>
          <w:tcPr>
            <w:tcW w:w="6249" w:type="dxa"/>
            <w:shd w:val="clear" w:color="auto" w:fill="FFFFFF"/>
            <w:tcMar>
              <w:top w:w="100" w:type="dxa"/>
              <w:left w:w="115" w:type="dxa"/>
              <w:bottom w:w="100" w:type="dxa"/>
              <w:right w:w="115" w:type="dxa"/>
            </w:tcMar>
          </w:tcPr>
          <w:p w:rsidR="001F53B2" w:rsidRDefault="006F61C4" w:rsidP="00804D4C">
            <w:pPr>
              <w:pStyle w:val="TableText"/>
            </w:pPr>
            <w:r>
              <w:t xml:space="preserve">Students explore the conflict that the narrator feels as he struggles to understand the competition, as well as how to move forward in its aftermath. </w:t>
            </w:r>
            <w:r w:rsidR="00564005">
              <w:t xml:space="preserve">Students also work in groups </w:t>
            </w:r>
            <w:r>
              <w:t xml:space="preserve">to analyze character motivations, </w:t>
            </w:r>
            <w:r w:rsidR="00CF6641">
              <w:t>using</w:t>
            </w:r>
            <w:r>
              <w:t xml:space="preserve"> evidence from the text to support their discussion.</w:t>
            </w:r>
          </w:p>
        </w:tc>
      </w:tr>
      <w:tr w:rsidR="001F53B2">
        <w:tc>
          <w:tcPr>
            <w:tcW w:w="892" w:type="dxa"/>
            <w:shd w:val="clear" w:color="auto" w:fill="FFFFFF"/>
            <w:tcMar>
              <w:top w:w="100" w:type="dxa"/>
              <w:left w:w="115" w:type="dxa"/>
              <w:bottom w:w="100" w:type="dxa"/>
              <w:right w:w="115" w:type="dxa"/>
            </w:tcMar>
          </w:tcPr>
          <w:p w:rsidR="001F53B2" w:rsidRDefault="00B15AEC" w:rsidP="00804D4C">
            <w:pPr>
              <w:pStyle w:val="TableText"/>
            </w:pPr>
            <w:r>
              <w:t>5</w:t>
            </w:r>
          </w:p>
        </w:tc>
        <w:tc>
          <w:tcPr>
            <w:tcW w:w="2309" w:type="dxa"/>
            <w:shd w:val="clear" w:color="auto" w:fill="FFFFFF"/>
            <w:tcMar>
              <w:top w:w="100" w:type="dxa"/>
              <w:left w:w="115" w:type="dxa"/>
              <w:bottom w:w="100" w:type="dxa"/>
              <w:right w:w="115" w:type="dxa"/>
            </w:tcMar>
          </w:tcPr>
          <w:p w:rsidR="001F53B2" w:rsidRDefault="00232AF2" w:rsidP="00804D4C">
            <w:pPr>
              <w:pStyle w:val="TableText"/>
            </w:pPr>
            <w:r>
              <w:t xml:space="preserve">“’Well young man,’ I said, knocking on the door frame” to “and </w:t>
            </w:r>
            <w:r>
              <w:lastRenderedPageBreak/>
              <w:t>trundled off to sit among his friends” (pp. 171</w:t>
            </w:r>
            <w:r w:rsidR="007271C6">
              <w:t>–</w:t>
            </w:r>
            <w:r>
              <w:t>175).</w:t>
            </w:r>
          </w:p>
        </w:tc>
        <w:tc>
          <w:tcPr>
            <w:tcW w:w="6249" w:type="dxa"/>
            <w:shd w:val="clear" w:color="auto" w:fill="FFFFFF"/>
            <w:tcMar>
              <w:top w:w="100" w:type="dxa"/>
              <w:left w:w="115" w:type="dxa"/>
              <w:bottom w:w="100" w:type="dxa"/>
              <w:right w:w="115" w:type="dxa"/>
            </w:tcMar>
          </w:tcPr>
          <w:p w:rsidR="001F53B2" w:rsidRDefault="00E46F5D" w:rsidP="00804D4C">
            <w:pPr>
              <w:pStyle w:val="TableText"/>
            </w:pPr>
            <w:r>
              <w:lastRenderedPageBreak/>
              <w:t>Students focus on the figurative language and word choice in this excerpt as they discuss questions. Students</w:t>
            </w:r>
            <w:r w:rsidR="00900550">
              <w:t xml:space="preserve"> </w:t>
            </w:r>
            <w:r>
              <w:t xml:space="preserve">analyze the impact of word choice on the meaning and tone of the text, as well as what </w:t>
            </w:r>
            <w:r>
              <w:lastRenderedPageBreak/>
              <w:t xml:space="preserve">these choices reveal about the narrator. </w:t>
            </w:r>
          </w:p>
        </w:tc>
      </w:tr>
      <w:tr w:rsidR="001F53B2">
        <w:tc>
          <w:tcPr>
            <w:tcW w:w="892" w:type="dxa"/>
            <w:shd w:val="clear" w:color="auto" w:fill="FFFFFF"/>
            <w:tcMar>
              <w:top w:w="100" w:type="dxa"/>
              <w:left w:w="115" w:type="dxa"/>
              <w:bottom w:w="100" w:type="dxa"/>
              <w:right w:w="115" w:type="dxa"/>
            </w:tcMar>
          </w:tcPr>
          <w:p w:rsidR="001F53B2" w:rsidRDefault="00B15AEC" w:rsidP="00804D4C">
            <w:pPr>
              <w:pStyle w:val="TableText"/>
            </w:pPr>
            <w:r>
              <w:lastRenderedPageBreak/>
              <w:t>6</w:t>
            </w:r>
          </w:p>
        </w:tc>
        <w:tc>
          <w:tcPr>
            <w:tcW w:w="2309" w:type="dxa"/>
            <w:shd w:val="clear" w:color="auto" w:fill="FFFFFF"/>
            <w:tcMar>
              <w:top w:w="100" w:type="dxa"/>
              <w:left w:w="115" w:type="dxa"/>
              <w:bottom w:w="100" w:type="dxa"/>
              <w:right w:w="115" w:type="dxa"/>
            </w:tcMar>
          </w:tcPr>
          <w:p w:rsidR="001F53B2" w:rsidRDefault="00232AF2" w:rsidP="00804D4C">
            <w:pPr>
              <w:pStyle w:val="TableText"/>
            </w:pPr>
            <w:r>
              <w:t>“It came as a surprise, then, when I learned in the Richmond Gazette” to “and by the end of that month he had asked me to retire” (pp. 175</w:t>
            </w:r>
            <w:r w:rsidR="007271C6">
              <w:t>–</w:t>
            </w:r>
            <w:r>
              <w:t>182).</w:t>
            </w:r>
          </w:p>
        </w:tc>
        <w:tc>
          <w:tcPr>
            <w:tcW w:w="6249" w:type="dxa"/>
            <w:shd w:val="clear" w:color="auto" w:fill="FFFFFF"/>
            <w:tcMar>
              <w:top w:w="100" w:type="dxa"/>
              <w:left w:w="115" w:type="dxa"/>
              <w:bottom w:w="100" w:type="dxa"/>
              <w:right w:w="115" w:type="dxa"/>
            </w:tcMar>
          </w:tcPr>
          <w:p w:rsidR="001F53B2" w:rsidRDefault="00D83E02" w:rsidP="00804D4C">
            <w:pPr>
              <w:pStyle w:val="TableText"/>
            </w:pPr>
            <w:r>
              <w:t>Students discuss the narrator’s moral code and analyze how challenges and word choice contribute to a better understanding of the narrator and help advance the plot. Students also organize their materials as they prepare for the Mid-Unit Assessment.</w:t>
            </w:r>
          </w:p>
        </w:tc>
      </w:tr>
      <w:tr w:rsidR="001F53B2">
        <w:tc>
          <w:tcPr>
            <w:tcW w:w="892" w:type="dxa"/>
            <w:shd w:val="clear" w:color="auto" w:fill="FFFFFF"/>
            <w:tcMar>
              <w:top w:w="100" w:type="dxa"/>
              <w:left w:w="115" w:type="dxa"/>
              <w:bottom w:w="100" w:type="dxa"/>
              <w:right w:w="115" w:type="dxa"/>
            </w:tcMar>
          </w:tcPr>
          <w:p w:rsidR="001F53B2" w:rsidRDefault="00B15AEC" w:rsidP="00804D4C">
            <w:pPr>
              <w:pStyle w:val="TableText"/>
            </w:pPr>
            <w:r>
              <w:t>7</w:t>
            </w:r>
          </w:p>
        </w:tc>
        <w:tc>
          <w:tcPr>
            <w:tcW w:w="2309" w:type="dxa"/>
            <w:shd w:val="clear" w:color="auto" w:fill="FFFFFF"/>
            <w:tcMar>
              <w:top w:w="100" w:type="dxa"/>
              <w:left w:w="115" w:type="dxa"/>
              <w:bottom w:w="100" w:type="dxa"/>
              <w:right w:w="115" w:type="dxa"/>
            </w:tcMar>
          </w:tcPr>
          <w:p w:rsidR="001F53B2" w:rsidRDefault="00232AF2" w:rsidP="00804D4C">
            <w:pPr>
              <w:pStyle w:val="TableText"/>
            </w:pPr>
            <w:r>
              <w:t>Mid-Unit Assessment (</w:t>
            </w:r>
            <w:r w:rsidR="000541FC" w:rsidRPr="001C5254">
              <w:t>“The Palace Thief</w:t>
            </w:r>
            <w:r w:rsidR="001C5254">
              <w:t>,</w:t>
            </w:r>
            <w:r>
              <w:t xml:space="preserve">” </w:t>
            </w:r>
            <w:r w:rsidR="001C5254">
              <w:t>pp. 168–182</w:t>
            </w:r>
            <w:r>
              <w:t>)</w:t>
            </w:r>
          </w:p>
        </w:tc>
        <w:tc>
          <w:tcPr>
            <w:tcW w:w="6249" w:type="dxa"/>
            <w:shd w:val="clear" w:color="auto" w:fill="FFFFFF"/>
            <w:tcMar>
              <w:top w:w="100" w:type="dxa"/>
              <w:left w:w="115" w:type="dxa"/>
              <w:bottom w:w="100" w:type="dxa"/>
              <w:right w:w="115" w:type="dxa"/>
            </w:tcMar>
          </w:tcPr>
          <w:p w:rsidR="001F53B2" w:rsidRDefault="00D83E02" w:rsidP="00804D4C">
            <w:pPr>
              <w:pStyle w:val="TableText"/>
            </w:pPr>
            <w:r>
              <w:t>Students demonstrate their understanding of the text thus far as they analyze how the narrator has developed over the course of the text, citing supporting evidence in their response.</w:t>
            </w:r>
          </w:p>
        </w:tc>
      </w:tr>
      <w:tr w:rsidR="00232AF2">
        <w:tc>
          <w:tcPr>
            <w:tcW w:w="892" w:type="dxa"/>
            <w:shd w:val="clear" w:color="auto" w:fill="FFFFFF"/>
            <w:tcMar>
              <w:top w:w="100" w:type="dxa"/>
              <w:left w:w="115" w:type="dxa"/>
              <w:bottom w:w="100" w:type="dxa"/>
              <w:right w:w="115" w:type="dxa"/>
            </w:tcMar>
          </w:tcPr>
          <w:p w:rsidR="00232AF2" w:rsidRDefault="00232AF2" w:rsidP="00804D4C">
            <w:pPr>
              <w:pStyle w:val="TableText"/>
            </w:pPr>
            <w:r>
              <w:t>8</w:t>
            </w:r>
          </w:p>
        </w:tc>
        <w:tc>
          <w:tcPr>
            <w:tcW w:w="2309" w:type="dxa"/>
            <w:shd w:val="clear" w:color="auto" w:fill="FFFFFF"/>
            <w:tcMar>
              <w:top w:w="100" w:type="dxa"/>
              <w:left w:w="115" w:type="dxa"/>
              <w:bottom w:w="100" w:type="dxa"/>
              <w:right w:w="115" w:type="dxa"/>
            </w:tcMar>
          </w:tcPr>
          <w:p w:rsidR="00232AF2" w:rsidRDefault="00232AF2" w:rsidP="00804D4C">
            <w:pPr>
              <w:pStyle w:val="TableText"/>
            </w:pPr>
            <w:r>
              <w:t>“And so I was preparing to end my days” to “Should I have spoken up to the Senator” (pp. 182</w:t>
            </w:r>
            <w:r w:rsidR="001C5254">
              <w:t>–</w:t>
            </w:r>
            <w:r>
              <w:t>187)</w:t>
            </w:r>
            <w:r w:rsidR="00900550">
              <w:t>.</w:t>
            </w:r>
          </w:p>
        </w:tc>
        <w:tc>
          <w:tcPr>
            <w:tcW w:w="6249" w:type="dxa"/>
            <w:shd w:val="clear" w:color="auto" w:fill="FFFFFF"/>
            <w:tcMar>
              <w:top w:w="100" w:type="dxa"/>
              <w:left w:w="115" w:type="dxa"/>
              <w:bottom w:w="100" w:type="dxa"/>
              <w:right w:w="115" w:type="dxa"/>
            </w:tcMar>
          </w:tcPr>
          <w:p w:rsidR="00232AF2" w:rsidRDefault="00111F58" w:rsidP="00804D4C">
            <w:pPr>
              <w:pStyle w:val="TableText"/>
              <w:rPr>
                <w:highlight w:val="white"/>
              </w:rPr>
            </w:pPr>
            <w:r>
              <w:rPr>
                <w:highlight w:val="white"/>
              </w:rPr>
              <w:t xml:space="preserve">Students analyze the impact of </w:t>
            </w:r>
            <w:r w:rsidR="005A2D57">
              <w:rPr>
                <w:highlight w:val="white"/>
              </w:rPr>
              <w:t xml:space="preserve">the narrator’s </w:t>
            </w:r>
            <w:r>
              <w:rPr>
                <w:highlight w:val="white"/>
              </w:rPr>
              <w:t>reflection, regret</w:t>
            </w:r>
            <w:r w:rsidR="00900550">
              <w:rPr>
                <w:highlight w:val="white"/>
              </w:rPr>
              <w:t>,</w:t>
            </w:r>
            <w:r>
              <w:rPr>
                <w:highlight w:val="white"/>
              </w:rPr>
              <w:t xml:space="preserve"> and self-doubt</w:t>
            </w:r>
            <w:r w:rsidR="005A2D57">
              <w:rPr>
                <w:highlight w:val="white"/>
              </w:rPr>
              <w:t xml:space="preserve"> on the decisions he makes for his future, as well as how these thoughts and feelings help shape a central idea of the text.</w:t>
            </w:r>
          </w:p>
        </w:tc>
      </w:tr>
      <w:tr w:rsidR="00232AF2">
        <w:tc>
          <w:tcPr>
            <w:tcW w:w="892" w:type="dxa"/>
            <w:shd w:val="clear" w:color="auto" w:fill="FFFFFF"/>
            <w:tcMar>
              <w:top w:w="100" w:type="dxa"/>
              <w:left w:w="115" w:type="dxa"/>
              <w:bottom w:w="100" w:type="dxa"/>
              <w:right w:w="115" w:type="dxa"/>
            </w:tcMar>
          </w:tcPr>
          <w:p w:rsidR="00232AF2" w:rsidRDefault="00232AF2" w:rsidP="00804D4C">
            <w:pPr>
              <w:pStyle w:val="TableText"/>
            </w:pPr>
            <w:r>
              <w:t>9</w:t>
            </w:r>
          </w:p>
        </w:tc>
        <w:tc>
          <w:tcPr>
            <w:tcW w:w="2309" w:type="dxa"/>
            <w:shd w:val="clear" w:color="auto" w:fill="FFFFFF"/>
            <w:tcMar>
              <w:top w:w="100" w:type="dxa"/>
              <w:left w:w="115" w:type="dxa"/>
              <w:bottom w:w="100" w:type="dxa"/>
              <w:right w:w="115" w:type="dxa"/>
            </w:tcMar>
          </w:tcPr>
          <w:p w:rsidR="00232AF2" w:rsidRDefault="00232AF2" w:rsidP="00804D4C">
            <w:pPr>
              <w:pStyle w:val="TableText"/>
            </w:pPr>
            <w:r>
              <w:t>“In early July, however,” to “the first rounds of questions were called from memory” (pp. 187</w:t>
            </w:r>
            <w:r w:rsidR="003B2261">
              <w:t>–</w:t>
            </w:r>
            <w:r>
              <w:t>191).</w:t>
            </w:r>
          </w:p>
        </w:tc>
        <w:tc>
          <w:tcPr>
            <w:tcW w:w="6249" w:type="dxa"/>
            <w:shd w:val="clear" w:color="auto" w:fill="FFFFFF"/>
            <w:tcMar>
              <w:top w:w="100" w:type="dxa"/>
              <w:left w:w="115" w:type="dxa"/>
              <w:bottom w:w="100" w:type="dxa"/>
              <w:right w:w="115" w:type="dxa"/>
            </w:tcMar>
          </w:tcPr>
          <w:p w:rsidR="00232AF2" w:rsidRDefault="005A2D57" w:rsidP="00804D4C">
            <w:pPr>
              <w:pStyle w:val="TableText"/>
              <w:rPr>
                <w:highlight w:val="white"/>
              </w:rPr>
            </w:pPr>
            <w:r>
              <w:rPr>
                <w:highlight w:val="white"/>
              </w:rPr>
              <w:t xml:space="preserve">Students engage in an evidence-based discussion to analyze the narrator’s reflections and interactions with former students. Students explore the role that the narrator has had in his students’ lives, as well as how the impact he has hoped to have helps further develop a central idea of the text. </w:t>
            </w:r>
          </w:p>
        </w:tc>
      </w:tr>
      <w:tr w:rsidR="00232AF2">
        <w:tc>
          <w:tcPr>
            <w:tcW w:w="892" w:type="dxa"/>
            <w:shd w:val="clear" w:color="auto" w:fill="FFFFFF"/>
            <w:tcMar>
              <w:top w:w="100" w:type="dxa"/>
              <w:left w:w="115" w:type="dxa"/>
              <w:bottom w:w="100" w:type="dxa"/>
              <w:right w:w="115" w:type="dxa"/>
            </w:tcMar>
          </w:tcPr>
          <w:p w:rsidR="00232AF2" w:rsidRDefault="00232AF2" w:rsidP="00804D4C">
            <w:pPr>
              <w:pStyle w:val="TableText"/>
            </w:pPr>
            <w:r>
              <w:t>10</w:t>
            </w:r>
          </w:p>
        </w:tc>
        <w:tc>
          <w:tcPr>
            <w:tcW w:w="2309" w:type="dxa"/>
            <w:shd w:val="clear" w:color="auto" w:fill="FFFFFF"/>
            <w:tcMar>
              <w:top w:w="100" w:type="dxa"/>
              <w:left w:w="115" w:type="dxa"/>
              <w:bottom w:w="100" w:type="dxa"/>
              <w:right w:w="115" w:type="dxa"/>
            </w:tcMar>
          </w:tcPr>
          <w:p w:rsidR="00232AF2" w:rsidRDefault="00232AF2" w:rsidP="00804D4C">
            <w:pPr>
              <w:pStyle w:val="TableText"/>
            </w:pPr>
            <w:r>
              <w:t>“The crowd did not fail to notice” to “to congratulate the victor” (pp. 191</w:t>
            </w:r>
            <w:r w:rsidR="003B2261">
              <w:t>–</w:t>
            </w:r>
            <w:r>
              <w:t>195).</w:t>
            </w:r>
          </w:p>
        </w:tc>
        <w:tc>
          <w:tcPr>
            <w:tcW w:w="6249" w:type="dxa"/>
            <w:shd w:val="clear" w:color="auto" w:fill="FFFFFF"/>
            <w:tcMar>
              <w:top w:w="100" w:type="dxa"/>
              <w:left w:w="115" w:type="dxa"/>
              <w:bottom w:w="100" w:type="dxa"/>
              <w:right w:w="115" w:type="dxa"/>
            </w:tcMar>
          </w:tcPr>
          <w:p w:rsidR="00232AF2" w:rsidRDefault="005A2D57" w:rsidP="00804D4C">
            <w:pPr>
              <w:pStyle w:val="TableText"/>
              <w:rPr>
                <w:highlight w:val="white"/>
              </w:rPr>
            </w:pPr>
            <w:r>
              <w:rPr>
                <w:highlight w:val="white"/>
              </w:rPr>
              <w:t>Students explore the impact that the narrator’s retirement has on the evolution of his character. Students participate in an evidence-based discussion and cite specific textual details to support character analysis. They also explore the narrator’s character development through his actions and assumptions.</w:t>
            </w:r>
          </w:p>
        </w:tc>
      </w:tr>
      <w:tr w:rsidR="00232AF2" w:rsidTr="00804D4C">
        <w:trPr>
          <w:trHeight w:val="1573"/>
        </w:trPr>
        <w:tc>
          <w:tcPr>
            <w:tcW w:w="892" w:type="dxa"/>
            <w:shd w:val="clear" w:color="auto" w:fill="FFFFFF"/>
            <w:tcMar>
              <w:top w:w="100" w:type="dxa"/>
              <w:left w:w="115" w:type="dxa"/>
              <w:bottom w:w="100" w:type="dxa"/>
              <w:right w:w="115" w:type="dxa"/>
            </w:tcMar>
          </w:tcPr>
          <w:p w:rsidR="00232AF2" w:rsidRDefault="00232AF2" w:rsidP="00804D4C">
            <w:pPr>
              <w:pStyle w:val="TableText"/>
            </w:pPr>
            <w:r>
              <w:lastRenderedPageBreak/>
              <w:t>11</w:t>
            </w:r>
          </w:p>
        </w:tc>
        <w:tc>
          <w:tcPr>
            <w:tcW w:w="2309" w:type="dxa"/>
            <w:shd w:val="clear" w:color="auto" w:fill="FFFFFF"/>
            <w:tcMar>
              <w:top w:w="100" w:type="dxa"/>
              <w:left w:w="115" w:type="dxa"/>
              <w:bottom w:w="100" w:type="dxa"/>
              <w:right w:w="115" w:type="dxa"/>
            </w:tcMar>
          </w:tcPr>
          <w:p w:rsidR="00232AF2" w:rsidRDefault="00232AF2" w:rsidP="00804D4C">
            <w:pPr>
              <w:pStyle w:val="TableText"/>
              <w:spacing w:after="0"/>
            </w:pPr>
            <w:r>
              <w:t xml:space="preserve">“How </w:t>
            </w:r>
            <w:proofErr w:type="gramStart"/>
            <w:r>
              <w:t>can I describe the scene” to “</w:t>
            </w:r>
            <w:r w:rsidR="00900550">
              <w:t>‘</w:t>
            </w:r>
            <w:r>
              <w:t>You have not changed either,’</w:t>
            </w:r>
            <w:proofErr w:type="gramEnd"/>
            <w:r>
              <w:t xml:space="preserve"> he said” (pp. 195</w:t>
            </w:r>
            <w:r w:rsidR="00545F74">
              <w:t>–</w:t>
            </w:r>
            <w:r>
              <w:t>198).</w:t>
            </w:r>
          </w:p>
        </w:tc>
        <w:tc>
          <w:tcPr>
            <w:tcW w:w="6249" w:type="dxa"/>
            <w:shd w:val="clear" w:color="auto" w:fill="FFFFFF"/>
            <w:tcMar>
              <w:top w:w="100" w:type="dxa"/>
              <w:left w:w="115" w:type="dxa"/>
              <w:bottom w:w="100" w:type="dxa"/>
              <w:right w:w="115" w:type="dxa"/>
            </w:tcMar>
          </w:tcPr>
          <w:p w:rsidR="00232AF2" w:rsidRDefault="005A2D57" w:rsidP="00804D4C">
            <w:pPr>
              <w:pStyle w:val="TableText"/>
              <w:rPr>
                <w:highlight w:val="white"/>
              </w:rPr>
            </w:pPr>
            <w:r>
              <w:rPr>
                <w:highlight w:val="white"/>
              </w:rPr>
              <w:t xml:space="preserve">Students analyze how the narrator’s expectations about the </w:t>
            </w:r>
            <w:r w:rsidR="00545F74">
              <w:rPr>
                <w:highlight w:val="white"/>
              </w:rPr>
              <w:t>“</w:t>
            </w:r>
            <w:r>
              <w:rPr>
                <w:highlight w:val="white"/>
              </w:rPr>
              <w:t>Mr. Julius Caesar</w:t>
            </w:r>
            <w:r w:rsidR="00545F74">
              <w:rPr>
                <w:highlight w:val="white"/>
              </w:rPr>
              <w:t>”</w:t>
            </w:r>
            <w:r>
              <w:rPr>
                <w:highlight w:val="white"/>
              </w:rPr>
              <w:t xml:space="preserve"> reunion competition clash with the reality of the events. Students also analyze details in the text that shape a central idea. </w:t>
            </w:r>
          </w:p>
        </w:tc>
      </w:tr>
      <w:tr w:rsidR="00232AF2">
        <w:tc>
          <w:tcPr>
            <w:tcW w:w="892" w:type="dxa"/>
            <w:shd w:val="clear" w:color="auto" w:fill="FFFFFF"/>
            <w:tcMar>
              <w:top w:w="100" w:type="dxa"/>
              <w:left w:w="115" w:type="dxa"/>
              <w:bottom w:w="100" w:type="dxa"/>
              <w:right w:w="115" w:type="dxa"/>
            </w:tcMar>
          </w:tcPr>
          <w:p w:rsidR="00232AF2" w:rsidRDefault="00232AF2" w:rsidP="00804D4C">
            <w:pPr>
              <w:pStyle w:val="TableText"/>
            </w:pPr>
            <w:r>
              <w:t>12</w:t>
            </w:r>
          </w:p>
        </w:tc>
        <w:tc>
          <w:tcPr>
            <w:tcW w:w="2309" w:type="dxa"/>
            <w:shd w:val="clear" w:color="auto" w:fill="FFFFFF"/>
            <w:tcMar>
              <w:top w:w="100" w:type="dxa"/>
              <w:left w:w="115" w:type="dxa"/>
              <w:bottom w:w="100" w:type="dxa"/>
              <w:right w:w="115" w:type="dxa"/>
            </w:tcMar>
          </w:tcPr>
          <w:p w:rsidR="00232AF2" w:rsidRDefault="00232AF2" w:rsidP="00804D4C">
            <w:pPr>
              <w:pStyle w:val="TableText"/>
              <w:spacing w:after="0"/>
            </w:pPr>
            <w:r>
              <w:t>“Well had I? As the craft lifted” to “of my boys, was now an old man” (pp. 198</w:t>
            </w:r>
            <w:r w:rsidR="006D52E1">
              <w:t>–</w:t>
            </w:r>
            <w:r>
              <w:t>205).</w:t>
            </w:r>
          </w:p>
        </w:tc>
        <w:tc>
          <w:tcPr>
            <w:tcW w:w="6249" w:type="dxa"/>
            <w:shd w:val="clear" w:color="auto" w:fill="FFFFFF"/>
            <w:tcMar>
              <w:top w:w="100" w:type="dxa"/>
              <w:left w:w="115" w:type="dxa"/>
              <w:bottom w:w="100" w:type="dxa"/>
              <w:right w:w="115" w:type="dxa"/>
            </w:tcMar>
          </w:tcPr>
          <w:p w:rsidR="00232AF2" w:rsidRDefault="005A2D57" w:rsidP="00804D4C">
            <w:pPr>
              <w:pStyle w:val="TableText"/>
              <w:spacing w:after="0"/>
              <w:rPr>
                <w:highlight w:val="white"/>
              </w:rPr>
            </w:pPr>
            <w:r>
              <w:rPr>
                <w:highlight w:val="white"/>
              </w:rPr>
              <w:t xml:space="preserve">Students analyze how the narrator’s interaction with a former student helps develop a better understanding of his interaction with </w:t>
            </w:r>
            <w:proofErr w:type="spellStart"/>
            <w:r>
              <w:rPr>
                <w:highlight w:val="white"/>
              </w:rPr>
              <w:t>Sedgewick</w:t>
            </w:r>
            <w:proofErr w:type="spellEnd"/>
            <w:r>
              <w:rPr>
                <w:highlight w:val="white"/>
              </w:rPr>
              <w:t xml:space="preserve"> Bell. Students also discuss Bell’s Populist campaign and the narrator’s involvement.</w:t>
            </w:r>
          </w:p>
        </w:tc>
      </w:tr>
      <w:tr w:rsidR="00232AF2">
        <w:tc>
          <w:tcPr>
            <w:tcW w:w="892" w:type="dxa"/>
            <w:shd w:val="clear" w:color="auto" w:fill="FFFFFF"/>
            <w:tcMar>
              <w:top w:w="100" w:type="dxa"/>
              <w:left w:w="115" w:type="dxa"/>
              <w:bottom w:w="100" w:type="dxa"/>
              <w:right w:w="115" w:type="dxa"/>
            </w:tcMar>
          </w:tcPr>
          <w:p w:rsidR="00232AF2" w:rsidRDefault="00232AF2" w:rsidP="00804D4C">
            <w:pPr>
              <w:pStyle w:val="TableText"/>
            </w:pPr>
            <w:r>
              <w:t>13</w:t>
            </w:r>
          </w:p>
        </w:tc>
        <w:tc>
          <w:tcPr>
            <w:tcW w:w="2309" w:type="dxa"/>
            <w:shd w:val="clear" w:color="auto" w:fill="FFFFFF"/>
            <w:tcMar>
              <w:top w:w="100" w:type="dxa"/>
              <w:left w:w="115" w:type="dxa"/>
              <w:bottom w:w="100" w:type="dxa"/>
              <w:right w:w="115" w:type="dxa"/>
            </w:tcMar>
          </w:tcPr>
          <w:p w:rsidR="00232AF2" w:rsidRDefault="00232AF2" w:rsidP="00804D4C">
            <w:pPr>
              <w:pStyle w:val="TableText"/>
            </w:pPr>
            <w:r>
              <w:t xml:space="preserve">End-of-Unit Assessment (full text of </w:t>
            </w:r>
            <w:r w:rsidR="000541FC" w:rsidRPr="006D52E1">
              <w:t>“The Palace Thief</w:t>
            </w:r>
            <w:r>
              <w:t>”)</w:t>
            </w:r>
            <w:r w:rsidR="002C75B3">
              <w:t>.</w:t>
            </w:r>
          </w:p>
        </w:tc>
        <w:tc>
          <w:tcPr>
            <w:tcW w:w="6249" w:type="dxa"/>
            <w:shd w:val="clear" w:color="auto" w:fill="FFFFFF"/>
            <w:tcMar>
              <w:top w:w="100" w:type="dxa"/>
              <w:left w:w="115" w:type="dxa"/>
              <w:bottom w:w="100" w:type="dxa"/>
              <w:right w:w="115" w:type="dxa"/>
            </w:tcMar>
          </w:tcPr>
          <w:p w:rsidR="00232AF2" w:rsidRDefault="00614953" w:rsidP="00804D4C">
            <w:pPr>
              <w:pStyle w:val="TableText"/>
              <w:spacing w:after="0"/>
              <w:rPr>
                <w:highlight w:val="white"/>
              </w:rPr>
            </w:pPr>
            <w:r>
              <w:rPr>
                <w:highlight w:val="white"/>
              </w:rPr>
              <w:t xml:space="preserve">Using work from </w:t>
            </w:r>
            <w:r w:rsidR="00900550">
              <w:rPr>
                <w:highlight w:val="white"/>
              </w:rPr>
              <w:t>10.1.2 L</w:t>
            </w:r>
            <w:r>
              <w:rPr>
                <w:highlight w:val="white"/>
              </w:rPr>
              <w:t>esson 12 and materials from previous lessons, students compose a multi-paragraph essay to demonstrate their understanding of the text’s central ideas through the End-of-Unit Assessment.</w:t>
            </w:r>
          </w:p>
        </w:tc>
      </w:tr>
    </w:tbl>
    <w:p w:rsidR="001F53B2" w:rsidRDefault="00B15AEC" w:rsidP="00804D4C">
      <w:pPr>
        <w:pStyle w:val="Heading1"/>
        <w:spacing w:before="360"/>
      </w:pPr>
      <w:r>
        <w:t>Preparation, Materials, and Resources</w:t>
      </w:r>
    </w:p>
    <w:p w:rsidR="001F53B2" w:rsidRDefault="00B15AEC" w:rsidP="00804D4C">
      <w:pPr>
        <w:spacing w:after="120"/>
      </w:pPr>
      <w:r>
        <w:rPr>
          <w:b/>
        </w:rPr>
        <w:t>Preparation</w:t>
      </w:r>
    </w:p>
    <w:p w:rsidR="001F53B2" w:rsidRPr="006D6233" w:rsidRDefault="00584311" w:rsidP="006D6233">
      <w:pPr>
        <w:pStyle w:val="BulletedList"/>
      </w:pPr>
      <w:r w:rsidRPr="006D6233">
        <w:t xml:space="preserve">Read and annotate </w:t>
      </w:r>
      <w:r w:rsidR="00616423">
        <w:t>“</w:t>
      </w:r>
      <w:r w:rsidR="000541FC" w:rsidRPr="006D52E1">
        <w:t>The Palace Thief</w:t>
      </w:r>
      <w:r w:rsidR="00616423">
        <w:t>”</w:t>
      </w:r>
      <w:r w:rsidR="00F76131" w:rsidRPr="006D6233">
        <w:t xml:space="preserve"> by Ethan </w:t>
      </w:r>
      <w:proofErr w:type="spellStart"/>
      <w:r w:rsidR="00F76131" w:rsidRPr="006D6233">
        <w:t>Canin</w:t>
      </w:r>
      <w:proofErr w:type="spellEnd"/>
      <w:r w:rsidR="00F76131" w:rsidRPr="006D6233">
        <w:t>.</w:t>
      </w:r>
    </w:p>
    <w:p w:rsidR="001F53B2" w:rsidRPr="006D6233" w:rsidRDefault="00B15AEC" w:rsidP="006D6233">
      <w:pPr>
        <w:pStyle w:val="BulletedList"/>
      </w:pPr>
      <w:r w:rsidRPr="006D6233">
        <w:t>Review the Text Analysis Rubric</w:t>
      </w:r>
      <w:r w:rsidR="00CD315B">
        <w:t xml:space="preserve"> and Checklist</w:t>
      </w:r>
      <w:r w:rsidRPr="006D6233">
        <w:t>.</w:t>
      </w:r>
    </w:p>
    <w:p w:rsidR="001F53B2" w:rsidRPr="006D6233" w:rsidRDefault="00B15AEC" w:rsidP="006D6233">
      <w:pPr>
        <w:pStyle w:val="BulletedList"/>
      </w:pPr>
      <w:r w:rsidRPr="006D6233">
        <w:t>Review all unit standards and post in classroom.</w:t>
      </w:r>
    </w:p>
    <w:p w:rsidR="001F53B2" w:rsidRPr="006D6233" w:rsidRDefault="00B15AEC" w:rsidP="006D6233">
      <w:pPr>
        <w:pStyle w:val="BulletedList"/>
      </w:pPr>
      <w:r w:rsidRPr="006D6233">
        <w:t>Consider creating a word wall of the vocabulary provided in all lessons.</w:t>
      </w:r>
    </w:p>
    <w:p w:rsidR="001F53B2" w:rsidRDefault="00B15AEC" w:rsidP="00804D4C">
      <w:pPr>
        <w:spacing w:after="120"/>
      </w:pPr>
      <w:r>
        <w:rPr>
          <w:b/>
        </w:rPr>
        <w:t>Materials/Resources</w:t>
      </w:r>
    </w:p>
    <w:p w:rsidR="001F53B2" w:rsidRDefault="00F76131" w:rsidP="006D6233">
      <w:pPr>
        <w:pStyle w:val="BulletedList"/>
      </w:pPr>
      <w:r>
        <w:t>Copies of the text</w:t>
      </w:r>
      <w:r w:rsidR="00B15AEC">
        <w:t xml:space="preserve"> </w:t>
      </w:r>
      <w:r w:rsidR="00616423">
        <w:t>“</w:t>
      </w:r>
      <w:r w:rsidRPr="00616423">
        <w:t>The Palace Thief</w:t>
      </w:r>
      <w:r w:rsidR="00616423">
        <w:t>”</w:t>
      </w:r>
      <w:r>
        <w:t xml:space="preserve"> </w:t>
      </w:r>
    </w:p>
    <w:p w:rsidR="001F53B2" w:rsidRDefault="00B15AEC" w:rsidP="006D6233">
      <w:pPr>
        <w:pStyle w:val="BulletedList"/>
      </w:pPr>
      <w:r>
        <w:t>Self-stick notes for students</w:t>
      </w:r>
    </w:p>
    <w:p w:rsidR="001F53B2" w:rsidRDefault="00B15AEC" w:rsidP="006D6233">
      <w:pPr>
        <w:pStyle w:val="BulletedList"/>
      </w:pPr>
      <w:r>
        <w:t>Writing utensils including pencils, pens, markers, and highlighters</w:t>
      </w:r>
    </w:p>
    <w:p w:rsidR="001F53B2" w:rsidRDefault="00B15AEC" w:rsidP="006D6233">
      <w:pPr>
        <w:pStyle w:val="BulletedList"/>
      </w:pPr>
      <w:r>
        <w:t>Methods for collecting student work: student notebooks, folders, etc.</w:t>
      </w:r>
    </w:p>
    <w:p w:rsidR="001F53B2" w:rsidRDefault="00B15AEC" w:rsidP="006D6233">
      <w:pPr>
        <w:pStyle w:val="BulletedList"/>
      </w:pPr>
      <w:r>
        <w:t>Access to technology (if possible): interactive whiteboard, document camera, and LCD projector</w:t>
      </w:r>
    </w:p>
    <w:p w:rsidR="001F53B2" w:rsidRDefault="00B15AEC" w:rsidP="006D6233">
      <w:pPr>
        <w:pStyle w:val="BulletedList"/>
      </w:pPr>
      <w:r>
        <w:t>Copies of handouts and tools for each student: see materials list in individual lesson plans</w:t>
      </w:r>
    </w:p>
    <w:p w:rsidR="001F53B2" w:rsidRDefault="00B15AEC" w:rsidP="006D6233">
      <w:pPr>
        <w:pStyle w:val="BulletedList"/>
      </w:pPr>
      <w:r>
        <w:t xml:space="preserve">Copies of the </w:t>
      </w:r>
      <w:r w:rsidR="002C75B3">
        <w:t xml:space="preserve">10.1 </w:t>
      </w:r>
      <w:r>
        <w:t>Common Core Learning Standards Tool</w:t>
      </w:r>
    </w:p>
    <w:p w:rsidR="00D62ABD" w:rsidRDefault="00B15AEC" w:rsidP="00AE5061">
      <w:pPr>
        <w:pStyle w:val="BulletedList"/>
      </w:pPr>
      <w:r w:rsidRPr="00AE5061">
        <w:t>Copies of the Text Analysis Rubric</w:t>
      </w:r>
      <w:r w:rsidR="003F1B7E" w:rsidRPr="00AE5061">
        <w:t xml:space="preserve"> </w:t>
      </w:r>
      <w:r w:rsidR="00CD315B">
        <w:t>and Checklist</w:t>
      </w:r>
    </w:p>
    <w:p w:rsidR="00CD315B" w:rsidRDefault="00CD315B" w:rsidP="00AE5061">
      <w:pPr>
        <w:pStyle w:val="BulletedList"/>
      </w:pPr>
      <w:r>
        <w:t>Copies of the Short Response Rubric and Checklist</w:t>
      </w:r>
    </w:p>
    <w:sectPr w:rsidR="00CD315B" w:rsidSect="007F5F49">
      <w:headerReference w:type="default" r:id="rId7"/>
      <w:footerReference w:type="default" r:id="rId8"/>
      <w:pgSz w:w="12240" w:h="15840" w:code="1"/>
      <w:pgMar w:top="1440" w:right="1440" w:bottom="1440" w:left="1440" w:header="432"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F2" w:rsidRDefault="005051F2">
      <w:pPr>
        <w:spacing w:before="0" w:after="0" w:line="240" w:lineRule="auto"/>
      </w:pPr>
      <w:r>
        <w:separator/>
      </w:r>
    </w:p>
  </w:endnote>
  <w:endnote w:type="continuationSeparator" w:id="0">
    <w:p w:rsidR="005051F2" w:rsidRDefault="005051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C8" w:rsidRPr="00563CB8" w:rsidRDefault="00131FC8" w:rsidP="00131FC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31FC8">
      <w:trPr>
        <w:trHeight w:val="705"/>
      </w:trPr>
      <w:tc>
        <w:tcPr>
          <w:tcW w:w="4609" w:type="dxa"/>
          <w:shd w:val="clear" w:color="auto" w:fill="auto"/>
          <w:vAlign w:val="center"/>
        </w:tcPr>
        <w:p w:rsidR="00131FC8" w:rsidRPr="002E4C92" w:rsidRDefault="00131FC8" w:rsidP="00131FC8">
          <w:pPr>
            <w:pStyle w:val="FooterText"/>
          </w:pPr>
          <w:r w:rsidRPr="002E4C92">
            <w:t>File:</w:t>
          </w:r>
          <w:r w:rsidRPr="0039525B">
            <w:rPr>
              <w:b w:val="0"/>
            </w:rPr>
            <w:t xml:space="preserve"> </w:t>
          </w:r>
          <w:r>
            <w:rPr>
              <w:b w:val="0"/>
            </w:rPr>
            <w:t>10.1.2 Unit Overview</w:t>
          </w:r>
          <w:r w:rsidRPr="002E4C92">
            <w:t xml:space="preserve"> Date:</w:t>
          </w:r>
          <w:r w:rsidRPr="0039525B">
            <w:rPr>
              <w:b w:val="0"/>
            </w:rPr>
            <w:t xml:space="preserve"> </w:t>
          </w:r>
          <w:r w:rsidR="00804D4C">
            <w:rPr>
              <w:b w:val="0"/>
            </w:rPr>
            <w:t>2/3</w:t>
          </w:r>
          <w:r w:rsidRPr="00131FC8">
            <w:rPr>
              <w:b w:val="0"/>
            </w:rPr>
            <w:t>/</w:t>
          </w:r>
          <w:r w:rsidR="00804D4C">
            <w:rPr>
              <w:b w:val="0"/>
            </w:rPr>
            <w:t>14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131FC8" w:rsidRPr="0039525B" w:rsidRDefault="00131FC8" w:rsidP="00131FC8">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131FC8" w:rsidRPr="0039525B" w:rsidRDefault="00131FC8" w:rsidP="00131FC8">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131FC8" w:rsidRPr="002E4C92" w:rsidRDefault="005051F2" w:rsidP="00131FC8">
          <w:pPr>
            <w:pStyle w:val="FooterText"/>
          </w:pPr>
          <w:hyperlink r:id="rId1" w:history="1">
            <w:r w:rsidR="00131FC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31FC8" w:rsidRPr="002E4C92" w:rsidRDefault="00D62ABD" w:rsidP="00131FC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31FC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600D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131FC8" w:rsidRPr="002E4C92" w:rsidRDefault="00131FC8" w:rsidP="00131FC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31FC8" w:rsidRPr="0039525B" w:rsidRDefault="00131FC8" w:rsidP="00131FC8">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F2" w:rsidRDefault="005051F2">
      <w:pPr>
        <w:spacing w:before="0" w:after="0" w:line="240" w:lineRule="auto"/>
      </w:pPr>
      <w:r>
        <w:separator/>
      </w:r>
    </w:p>
  </w:footnote>
  <w:footnote w:type="continuationSeparator" w:id="0">
    <w:p w:rsidR="005051F2" w:rsidRDefault="005051F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Ind w:w="98" w:type="dxa"/>
      <w:tblLayout w:type="fixed"/>
      <w:tblCellMar>
        <w:left w:w="10" w:type="dxa"/>
        <w:right w:w="10" w:type="dxa"/>
      </w:tblCellMar>
      <w:tblLook w:val="0000" w:firstRow="0" w:lastRow="0" w:firstColumn="0" w:lastColumn="0" w:noHBand="0" w:noVBand="0"/>
    </w:tblPr>
    <w:tblGrid>
      <w:gridCol w:w="3708"/>
      <w:gridCol w:w="2430"/>
      <w:gridCol w:w="3438"/>
    </w:tblGrid>
    <w:tr w:rsidR="001F53B2">
      <w:tc>
        <w:tcPr>
          <w:tcW w:w="3708" w:type="dxa"/>
          <w:tcMar>
            <w:top w:w="100" w:type="dxa"/>
            <w:left w:w="108" w:type="dxa"/>
            <w:bottom w:w="100" w:type="dxa"/>
            <w:right w:w="108" w:type="dxa"/>
          </w:tcMar>
        </w:tcPr>
        <w:p w:rsidR="001F53B2" w:rsidRDefault="00B15AEC" w:rsidP="00131FC8">
          <w:pPr>
            <w:pStyle w:val="PageHeader"/>
          </w:pPr>
          <w:r>
            <w:t>NYS Common Core ELA &amp; Literacy Curriculum</w:t>
          </w:r>
        </w:p>
      </w:tc>
      <w:tc>
        <w:tcPr>
          <w:tcW w:w="2430" w:type="dxa"/>
          <w:tcMar>
            <w:top w:w="100" w:type="dxa"/>
            <w:left w:w="108" w:type="dxa"/>
            <w:bottom w:w="100" w:type="dxa"/>
            <w:right w:w="108" w:type="dxa"/>
          </w:tcMar>
          <w:vAlign w:val="center"/>
        </w:tcPr>
        <w:p w:rsidR="001F53B2" w:rsidRPr="00131FC8" w:rsidRDefault="00B15AEC" w:rsidP="00131FC8">
          <w:pPr>
            <w:jc w:val="center"/>
          </w:pPr>
          <w:r w:rsidRPr="00131FC8">
            <w:t>D R A F T</w:t>
          </w:r>
        </w:p>
      </w:tc>
      <w:tc>
        <w:tcPr>
          <w:tcW w:w="3438" w:type="dxa"/>
          <w:tcMar>
            <w:top w:w="100" w:type="dxa"/>
            <w:left w:w="108" w:type="dxa"/>
            <w:bottom w:w="100" w:type="dxa"/>
            <w:right w:w="108" w:type="dxa"/>
          </w:tcMar>
        </w:tcPr>
        <w:p w:rsidR="001F53B2" w:rsidRPr="00131FC8" w:rsidRDefault="003F51FE" w:rsidP="00131FC8">
          <w:pPr>
            <w:pStyle w:val="PageHeader"/>
            <w:jc w:val="right"/>
            <w:rPr>
              <w:b w:val="0"/>
            </w:rPr>
          </w:pPr>
          <w:r w:rsidRPr="00131FC8">
            <w:rPr>
              <w:b w:val="0"/>
            </w:rPr>
            <w:t>Grade 10</w:t>
          </w:r>
          <w:r w:rsidR="00B15AEC" w:rsidRPr="00131FC8">
            <w:rPr>
              <w:b w:val="0"/>
            </w:rPr>
            <w:t xml:space="preserve"> • Module </w:t>
          </w:r>
          <w:r w:rsidRPr="00131FC8">
            <w:rPr>
              <w:b w:val="0"/>
            </w:rPr>
            <w:t>1</w:t>
          </w:r>
          <w:r w:rsidR="00B15AEC" w:rsidRPr="00131FC8">
            <w:rPr>
              <w:b w:val="0"/>
            </w:rPr>
            <w:t xml:space="preserve"> • Unit </w:t>
          </w:r>
          <w:r w:rsidRPr="00131FC8">
            <w:rPr>
              <w:b w:val="0"/>
            </w:rPr>
            <w:t>2</w:t>
          </w:r>
          <w:r w:rsidR="00B15AEC" w:rsidRPr="00131FC8">
            <w:rPr>
              <w:b w:val="0"/>
            </w:rPr>
            <w:t xml:space="preserve"> Overview</w:t>
          </w:r>
        </w:p>
      </w:tc>
    </w:tr>
  </w:tbl>
  <w:p w:rsidR="001F53B2" w:rsidRDefault="001F53B2">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04040"/>
    <w:multiLevelType w:val="hybridMultilevel"/>
    <w:tmpl w:val="194CB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15400E"/>
    <w:multiLevelType w:val="hybridMultilevel"/>
    <w:tmpl w:val="455C3B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1861D1"/>
    <w:multiLevelType w:val="multilevel"/>
    <w:tmpl w:val="B9FC90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5AC57447"/>
    <w:multiLevelType w:val="hybridMultilevel"/>
    <w:tmpl w:val="3E7A38EC"/>
    <w:lvl w:ilvl="0" w:tplc="23E44AD0">
      <w:start w:val="1"/>
      <w:numFmt w:val="bullet"/>
      <w:pStyle w:val="BulletedList"/>
      <w:lvlText w:val=""/>
      <w:lvlJc w:val="left"/>
      <w:pPr>
        <w:ind w:left="720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3"/>
    <w:lvlOverride w:ilvl="0">
      <w:startOverride w:val="1"/>
    </w:lvlOverride>
  </w:num>
  <w:num w:numId="6">
    <w:abstractNumId w:val="9"/>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53B2"/>
    <w:rsid w:val="00026FF5"/>
    <w:rsid w:val="00042CF5"/>
    <w:rsid w:val="000541FC"/>
    <w:rsid w:val="000821D9"/>
    <w:rsid w:val="000D1C36"/>
    <w:rsid w:val="00111F58"/>
    <w:rsid w:val="00131FC8"/>
    <w:rsid w:val="00147274"/>
    <w:rsid w:val="0017225D"/>
    <w:rsid w:val="001729AD"/>
    <w:rsid w:val="001A1B2F"/>
    <w:rsid w:val="001B4AB6"/>
    <w:rsid w:val="001C5254"/>
    <w:rsid w:val="001F53B2"/>
    <w:rsid w:val="00204072"/>
    <w:rsid w:val="00212D54"/>
    <w:rsid w:val="00217AC2"/>
    <w:rsid w:val="00220093"/>
    <w:rsid w:val="00232AF2"/>
    <w:rsid w:val="00267CC0"/>
    <w:rsid w:val="0027533F"/>
    <w:rsid w:val="002A393D"/>
    <w:rsid w:val="002B4F60"/>
    <w:rsid w:val="002C75B3"/>
    <w:rsid w:val="002D3064"/>
    <w:rsid w:val="00314BA8"/>
    <w:rsid w:val="003530D5"/>
    <w:rsid w:val="003872E5"/>
    <w:rsid w:val="00387609"/>
    <w:rsid w:val="003B2261"/>
    <w:rsid w:val="003D05FD"/>
    <w:rsid w:val="003F1B7E"/>
    <w:rsid w:val="003F51FE"/>
    <w:rsid w:val="00400605"/>
    <w:rsid w:val="004225CE"/>
    <w:rsid w:val="00430BC0"/>
    <w:rsid w:val="00436414"/>
    <w:rsid w:val="00493EBB"/>
    <w:rsid w:val="00494511"/>
    <w:rsid w:val="00502183"/>
    <w:rsid w:val="00502E97"/>
    <w:rsid w:val="005051F2"/>
    <w:rsid w:val="005230C1"/>
    <w:rsid w:val="00545F74"/>
    <w:rsid w:val="00564005"/>
    <w:rsid w:val="00584311"/>
    <w:rsid w:val="005A2D57"/>
    <w:rsid w:val="005C3830"/>
    <w:rsid w:val="005F5EBE"/>
    <w:rsid w:val="00610D86"/>
    <w:rsid w:val="00614953"/>
    <w:rsid w:val="00616423"/>
    <w:rsid w:val="00622868"/>
    <w:rsid w:val="00630BB3"/>
    <w:rsid w:val="006600D3"/>
    <w:rsid w:val="00692CBE"/>
    <w:rsid w:val="006D1073"/>
    <w:rsid w:val="006D52E1"/>
    <w:rsid w:val="006D6233"/>
    <w:rsid w:val="006D6DC2"/>
    <w:rsid w:val="006F61C4"/>
    <w:rsid w:val="00720911"/>
    <w:rsid w:val="007271C6"/>
    <w:rsid w:val="007333AA"/>
    <w:rsid w:val="00760EC0"/>
    <w:rsid w:val="007824E8"/>
    <w:rsid w:val="007B2B7C"/>
    <w:rsid w:val="007F5F49"/>
    <w:rsid w:val="00804D4C"/>
    <w:rsid w:val="008062AD"/>
    <w:rsid w:val="00816969"/>
    <w:rsid w:val="008230C1"/>
    <w:rsid w:val="008C1AD4"/>
    <w:rsid w:val="008F2E0D"/>
    <w:rsid w:val="00900550"/>
    <w:rsid w:val="009603D6"/>
    <w:rsid w:val="0098476F"/>
    <w:rsid w:val="00996671"/>
    <w:rsid w:val="009A117D"/>
    <w:rsid w:val="009C02A7"/>
    <w:rsid w:val="009C7B69"/>
    <w:rsid w:val="009E3FBE"/>
    <w:rsid w:val="009F09FA"/>
    <w:rsid w:val="009F793C"/>
    <w:rsid w:val="00A018C4"/>
    <w:rsid w:val="00A448DD"/>
    <w:rsid w:val="00A721E9"/>
    <w:rsid w:val="00AB0486"/>
    <w:rsid w:val="00AC7E05"/>
    <w:rsid w:val="00AE5061"/>
    <w:rsid w:val="00AF42BE"/>
    <w:rsid w:val="00B15AEC"/>
    <w:rsid w:val="00B378FC"/>
    <w:rsid w:val="00B51807"/>
    <w:rsid w:val="00B73D3C"/>
    <w:rsid w:val="00B86216"/>
    <w:rsid w:val="00C67D5C"/>
    <w:rsid w:val="00C940EF"/>
    <w:rsid w:val="00CD315B"/>
    <w:rsid w:val="00CD7C94"/>
    <w:rsid w:val="00CF509A"/>
    <w:rsid w:val="00CF6641"/>
    <w:rsid w:val="00D04230"/>
    <w:rsid w:val="00D62ABD"/>
    <w:rsid w:val="00D83E02"/>
    <w:rsid w:val="00E46F5D"/>
    <w:rsid w:val="00E715A9"/>
    <w:rsid w:val="00E7447C"/>
    <w:rsid w:val="00E818E7"/>
    <w:rsid w:val="00E8449F"/>
    <w:rsid w:val="00F25C20"/>
    <w:rsid w:val="00F76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82E02-71C0-4ED4-A173-928CDDB3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8449F"/>
    <w:pPr>
      <w:spacing w:before="60" w:after="180" w:line="276" w:lineRule="auto"/>
    </w:pPr>
    <w:rPr>
      <w:rFonts w:ascii="Calibri" w:eastAsia="Calibri" w:hAnsi="Calibri" w:cs="Times New Roman"/>
      <w:lang w:val="en-US" w:eastAsia="en-US"/>
    </w:rPr>
  </w:style>
  <w:style w:type="paragraph" w:styleId="Heading1">
    <w:name w:val="heading 1"/>
    <w:aliases w:val="*Headers"/>
    <w:basedOn w:val="Normal"/>
    <w:next w:val="Normal"/>
    <w:link w:val="Heading1Char"/>
    <w:uiPriority w:val="9"/>
    <w:qFormat/>
    <w:rsid w:val="009E3FBE"/>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9E3FBE"/>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9E3FBE"/>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rsid w:val="000541FC"/>
    <w:pPr>
      <w:spacing w:before="240" w:line="240" w:lineRule="auto"/>
      <w:outlineLvl w:val="3"/>
    </w:pPr>
    <w:rPr>
      <w:b/>
      <w:sz w:val="28"/>
    </w:rPr>
  </w:style>
  <w:style w:type="paragraph" w:styleId="Heading5">
    <w:name w:val="heading 5"/>
    <w:basedOn w:val="Normal"/>
    <w:next w:val="Normal"/>
    <w:rsid w:val="000541FC"/>
    <w:pPr>
      <w:spacing w:before="220" w:after="40" w:line="240" w:lineRule="auto"/>
      <w:outlineLvl w:val="4"/>
    </w:pPr>
    <w:rPr>
      <w:b/>
    </w:rPr>
  </w:style>
  <w:style w:type="paragraph" w:styleId="Heading6">
    <w:name w:val="heading 6"/>
    <w:basedOn w:val="Normal"/>
    <w:next w:val="Normal"/>
    <w:rsid w:val="000541FC"/>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E3FBE"/>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rsid w:val="000541FC"/>
    <w:pPr>
      <w:spacing w:before="360" w:after="80" w:line="240" w:lineRule="auto"/>
    </w:pPr>
    <w:rPr>
      <w:rFonts w:ascii="Georgia" w:eastAsia="Georgia" w:hAnsi="Georgia" w:cs="Georgia"/>
      <w:i/>
      <w:color w:val="666666"/>
      <w:sz w:val="48"/>
    </w:rPr>
  </w:style>
  <w:style w:type="paragraph" w:styleId="Header">
    <w:name w:val="header"/>
    <w:basedOn w:val="Normal"/>
    <w:link w:val="HeaderChar"/>
    <w:uiPriority w:val="99"/>
    <w:unhideWhenUsed/>
    <w:rsid w:val="009E3FBE"/>
    <w:pPr>
      <w:tabs>
        <w:tab w:val="center" w:pos="4680"/>
        <w:tab w:val="right" w:pos="9360"/>
      </w:tabs>
    </w:pPr>
    <w:rPr>
      <w:sz w:val="20"/>
    </w:rPr>
  </w:style>
  <w:style w:type="character" w:customStyle="1" w:styleId="HeaderChar">
    <w:name w:val="Header Char"/>
    <w:link w:val="Header"/>
    <w:uiPriority w:val="99"/>
    <w:rsid w:val="009E3FBE"/>
    <w:rPr>
      <w:rFonts w:ascii="Calibri" w:eastAsia="Calibri" w:hAnsi="Calibri" w:cs="Times New Roman"/>
      <w:sz w:val="20"/>
      <w:lang w:val="en-US" w:eastAsia="en-US"/>
    </w:rPr>
  </w:style>
  <w:style w:type="paragraph" w:styleId="Footer">
    <w:name w:val="footer"/>
    <w:basedOn w:val="Normal"/>
    <w:link w:val="FooterChar"/>
    <w:uiPriority w:val="99"/>
    <w:rsid w:val="009E3FBE"/>
    <w:pPr>
      <w:tabs>
        <w:tab w:val="center" w:pos="4320"/>
        <w:tab w:val="right" w:pos="8640"/>
      </w:tabs>
    </w:pPr>
    <w:rPr>
      <w:rFonts w:ascii="Times New Roman" w:hAnsi="Times New Roman"/>
      <w:sz w:val="20"/>
    </w:rPr>
  </w:style>
  <w:style w:type="character" w:customStyle="1" w:styleId="FooterChar">
    <w:name w:val="Footer Char"/>
    <w:link w:val="Footer"/>
    <w:uiPriority w:val="99"/>
    <w:rsid w:val="009E3FBE"/>
    <w:rPr>
      <w:rFonts w:ascii="Times New Roman" w:eastAsia="Calibri" w:hAnsi="Times New Roman" w:cs="Times New Roman"/>
      <w:sz w:val="20"/>
      <w:lang w:val="en-US" w:eastAsia="en-US"/>
    </w:rPr>
  </w:style>
  <w:style w:type="paragraph" w:styleId="Quote">
    <w:name w:val="Quote"/>
    <w:basedOn w:val="Normal"/>
    <w:next w:val="Normal"/>
    <w:link w:val="QuoteChar"/>
    <w:uiPriority w:val="29"/>
    <w:qFormat/>
    <w:rsid w:val="009966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6671"/>
    <w:rPr>
      <w:rFonts w:ascii="Calibri" w:eastAsia="Calibri" w:hAnsi="Calibri" w:cs="Calibri"/>
      <w:i/>
      <w:iCs/>
      <w:color w:val="404040" w:themeColor="text1" w:themeTint="BF"/>
    </w:rPr>
  </w:style>
  <w:style w:type="paragraph" w:styleId="NoSpacing">
    <w:name w:val="No Spacing"/>
    <w:uiPriority w:val="1"/>
    <w:qFormat/>
    <w:rsid w:val="006F61C4"/>
    <w:pPr>
      <w:spacing w:after="0" w:line="240" w:lineRule="auto"/>
    </w:pPr>
    <w:rPr>
      <w:rFonts w:ascii="Calibri" w:eastAsia="Calibri" w:hAnsi="Calibri" w:cs="Calibri"/>
      <w:color w:val="000000"/>
    </w:rPr>
  </w:style>
  <w:style w:type="paragraph" w:customStyle="1" w:styleId="BR">
    <w:name w:val="*BR*"/>
    <w:link w:val="BRChar"/>
    <w:qFormat/>
    <w:rsid w:val="009E3FBE"/>
    <w:pPr>
      <w:pBdr>
        <w:bottom w:val="single" w:sz="12" w:space="1" w:color="7F7F7F" w:themeColor="text1" w:themeTint="80"/>
      </w:pBdr>
      <w:spacing w:after="360" w:line="240" w:lineRule="auto"/>
      <w:ind w:left="2880" w:right="2880"/>
    </w:pPr>
    <w:rPr>
      <w:rFonts w:ascii="Calibri" w:eastAsia="Calibri" w:hAnsi="Calibri" w:cs="Times New Roman"/>
      <w:sz w:val="18"/>
      <w:lang w:val="en-US" w:eastAsia="en-US"/>
    </w:rPr>
  </w:style>
  <w:style w:type="character" w:customStyle="1" w:styleId="BRChar">
    <w:name w:val="*BR* Char"/>
    <w:basedOn w:val="DefaultParagraphFont"/>
    <w:link w:val="BR"/>
    <w:rsid w:val="009E3FBE"/>
    <w:rPr>
      <w:rFonts w:ascii="Calibri" w:eastAsia="Calibri" w:hAnsi="Calibri" w:cs="Times New Roman"/>
      <w:sz w:val="18"/>
      <w:lang w:val="en-US" w:eastAsia="en-US"/>
    </w:rPr>
  </w:style>
  <w:style w:type="paragraph" w:customStyle="1" w:styleId="BulletedList">
    <w:name w:val="*Bulleted List"/>
    <w:link w:val="BulletedListChar"/>
    <w:qFormat/>
    <w:rsid w:val="009E3FBE"/>
    <w:pPr>
      <w:numPr>
        <w:numId w:val="2"/>
      </w:numPr>
      <w:spacing w:before="60" w:after="60" w:line="276" w:lineRule="auto"/>
      <w:ind w:left="360"/>
    </w:pPr>
    <w:rPr>
      <w:rFonts w:ascii="Calibri" w:eastAsia="Calibri" w:hAnsi="Calibri" w:cs="Times New Roman"/>
      <w:lang w:val="en-US" w:eastAsia="en-US"/>
    </w:rPr>
  </w:style>
  <w:style w:type="character" w:customStyle="1" w:styleId="BulletedListChar">
    <w:name w:val="*Bulleted List Char"/>
    <w:basedOn w:val="DefaultParagraphFont"/>
    <w:link w:val="BulletedList"/>
    <w:rsid w:val="009E3FBE"/>
    <w:rPr>
      <w:rFonts w:ascii="Calibri" w:eastAsia="Calibri" w:hAnsi="Calibri" w:cs="Times New Roman"/>
      <w:lang w:val="en-US" w:eastAsia="en-US"/>
    </w:rPr>
  </w:style>
  <w:style w:type="paragraph" w:customStyle="1" w:styleId="ExcerptAuthor">
    <w:name w:val="*ExcerptAuthor"/>
    <w:basedOn w:val="Normal"/>
    <w:link w:val="ExcerptAuthorChar"/>
    <w:qFormat/>
    <w:rsid w:val="009E3FBE"/>
    <w:pPr>
      <w:jc w:val="center"/>
    </w:pPr>
    <w:rPr>
      <w:rFonts w:asciiTheme="majorHAnsi" w:hAnsiTheme="majorHAnsi"/>
      <w:b/>
    </w:rPr>
  </w:style>
  <w:style w:type="character" w:customStyle="1" w:styleId="ExcerptAuthorChar">
    <w:name w:val="*ExcerptAuthor Char"/>
    <w:basedOn w:val="DefaultParagraphFont"/>
    <w:link w:val="ExcerptAuthor"/>
    <w:rsid w:val="009E3FBE"/>
    <w:rPr>
      <w:rFonts w:asciiTheme="majorHAnsi" w:eastAsia="Calibri" w:hAnsiTheme="majorHAnsi" w:cs="Times New Roman"/>
      <w:b/>
      <w:lang w:val="en-US" w:eastAsia="en-US"/>
    </w:rPr>
  </w:style>
  <w:style w:type="paragraph" w:customStyle="1" w:styleId="ExcerptBody">
    <w:name w:val="*ExcerptBody"/>
    <w:basedOn w:val="Normal"/>
    <w:link w:val="ExcerptBodyChar"/>
    <w:qFormat/>
    <w:rsid w:val="009E3FBE"/>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9E3FBE"/>
    <w:rPr>
      <w:rFonts w:ascii="Times New Roman" w:eastAsia="Times New Roman" w:hAnsi="Times New Roman" w:cs="Times New Roman"/>
      <w:color w:val="000000"/>
      <w:sz w:val="24"/>
      <w:szCs w:val="17"/>
      <w:lang w:val="en-US" w:eastAsia="en-US"/>
    </w:rPr>
  </w:style>
  <w:style w:type="paragraph" w:customStyle="1" w:styleId="ExcerptTitle">
    <w:name w:val="*ExcerptTitle"/>
    <w:basedOn w:val="Normal"/>
    <w:link w:val="ExcerptTitleChar"/>
    <w:qFormat/>
    <w:rsid w:val="009E3FBE"/>
    <w:pPr>
      <w:jc w:val="center"/>
    </w:pPr>
    <w:rPr>
      <w:rFonts w:asciiTheme="majorHAnsi" w:hAnsiTheme="majorHAnsi"/>
      <w:b/>
      <w:smallCaps/>
      <w:sz w:val="32"/>
    </w:rPr>
  </w:style>
  <w:style w:type="character" w:customStyle="1" w:styleId="ExcerptTitleChar">
    <w:name w:val="*ExcerptTitle Char"/>
    <w:basedOn w:val="DefaultParagraphFont"/>
    <w:link w:val="ExcerptTitle"/>
    <w:rsid w:val="009E3FBE"/>
    <w:rPr>
      <w:rFonts w:asciiTheme="majorHAnsi" w:eastAsia="Calibri" w:hAnsiTheme="majorHAnsi" w:cs="Times New Roman"/>
      <w:b/>
      <w:smallCaps/>
      <w:sz w:val="32"/>
      <w:lang w:val="en-US" w:eastAsia="en-US"/>
    </w:rPr>
  </w:style>
  <w:style w:type="paragraph" w:customStyle="1" w:styleId="FooterText">
    <w:name w:val="*FooterText"/>
    <w:link w:val="FooterTextChar"/>
    <w:qFormat/>
    <w:rsid w:val="009E3FBE"/>
    <w:pPr>
      <w:spacing w:after="0" w:line="200" w:lineRule="exact"/>
    </w:pPr>
    <w:rPr>
      <w:rFonts w:ascii="Calibri" w:eastAsia="Verdana" w:hAnsi="Calibri" w:cs="Calibri"/>
      <w:b/>
      <w:color w:val="595959"/>
      <w:sz w:val="14"/>
      <w:lang w:val="en-US" w:eastAsia="en-US"/>
    </w:rPr>
  </w:style>
  <w:style w:type="character" w:customStyle="1" w:styleId="FooterTextChar">
    <w:name w:val="FooterText Char"/>
    <w:basedOn w:val="DefaultParagraphFont"/>
    <w:link w:val="FooterText"/>
    <w:rsid w:val="009E3FBE"/>
    <w:rPr>
      <w:rFonts w:ascii="Calibri" w:eastAsia="Verdana" w:hAnsi="Calibri" w:cs="Calibri"/>
      <w:b/>
      <w:color w:val="595959"/>
      <w:sz w:val="14"/>
      <w:lang w:val="en-US" w:eastAsia="en-US"/>
    </w:rPr>
  </w:style>
  <w:style w:type="paragraph" w:customStyle="1" w:styleId="IN">
    <w:name w:val="*IN*"/>
    <w:link w:val="INChar"/>
    <w:qFormat/>
    <w:rsid w:val="009E3FBE"/>
    <w:pPr>
      <w:spacing w:before="120" w:after="60" w:line="276" w:lineRule="auto"/>
      <w:ind w:left="360"/>
    </w:pPr>
    <w:rPr>
      <w:rFonts w:ascii="Calibri" w:eastAsia="Calibri" w:hAnsi="Calibri" w:cs="Times New Roman"/>
      <w:color w:val="4F81BD" w:themeColor="accent1"/>
      <w:lang w:val="en-US" w:eastAsia="en-US"/>
    </w:rPr>
  </w:style>
  <w:style w:type="character" w:customStyle="1" w:styleId="INChar">
    <w:name w:val="*IN* Char"/>
    <w:basedOn w:val="DefaultParagraphFont"/>
    <w:link w:val="IN"/>
    <w:rsid w:val="009E3FBE"/>
    <w:rPr>
      <w:rFonts w:ascii="Calibri" w:eastAsia="Calibri" w:hAnsi="Calibri" w:cs="Times New Roman"/>
      <w:color w:val="4F81BD" w:themeColor="accent1"/>
      <w:lang w:val="en-US" w:eastAsia="en-US"/>
    </w:rPr>
  </w:style>
  <w:style w:type="paragraph" w:customStyle="1" w:styleId="INBullet">
    <w:name w:val="*IN* Bullet"/>
    <w:link w:val="INBulletChar"/>
    <w:qFormat/>
    <w:rsid w:val="009E3FBE"/>
    <w:pPr>
      <w:numPr>
        <w:numId w:val="4"/>
      </w:numPr>
      <w:spacing w:after="60" w:line="276" w:lineRule="auto"/>
    </w:pPr>
    <w:rPr>
      <w:rFonts w:ascii="Calibri" w:eastAsia="Calibri" w:hAnsi="Calibri" w:cs="Times New Roman"/>
      <w:color w:val="4F81BD" w:themeColor="accent1"/>
      <w:lang w:val="en-US" w:eastAsia="en-US"/>
    </w:rPr>
  </w:style>
  <w:style w:type="character" w:customStyle="1" w:styleId="INBulletChar">
    <w:name w:val="*IN* Bullet Char"/>
    <w:basedOn w:val="BulletedListChar"/>
    <w:link w:val="INBullet"/>
    <w:rsid w:val="009E3FBE"/>
    <w:rPr>
      <w:rFonts w:ascii="Calibri" w:eastAsia="Calibri" w:hAnsi="Calibri" w:cs="Times New Roman"/>
      <w:color w:val="4F81BD" w:themeColor="accent1"/>
      <w:lang w:val="en-US" w:eastAsia="en-US"/>
    </w:rPr>
  </w:style>
  <w:style w:type="paragraph" w:customStyle="1" w:styleId="LearningSequenceHeader">
    <w:name w:val="*Learning Sequence Header"/>
    <w:next w:val="Normal"/>
    <w:link w:val="LearningSequenceHeaderChar"/>
    <w:qFormat/>
    <w:rsid w:val="009E3FBE"/>
    <w:pPr>
      <w:pBdr>
        <w:bottom w:val="single" w:sz="12" w:space="1" w:color="9BBB59" w:themeColor="accent3"/>
      </w:pBdr>
      <w:tabs>
        <w:tab w:val="right" w:pos="9360"/>
      </w:tabs>
      <w:spacing w:before="480" w:after="0" w:line="240" w:lineRule="auto"/>
    </w:pPr>
    <w:rPr>
      <w:rFonts w:eastAsia="Calibri" w:cs="Times New Roman"/>
      <w:b/>
      <w:bCs/>
      <w:color w:val="4F81BD"/>
      <w:sz w:val="28"/>
      <w:szCs w:val="26"/>
      <w:lang w:val="en-US" w:eastAsia="en-US"/>
    </w:rPr>
  </w:style>
  <w:style w:type="character" w:customStyle="1" w:styleId="LearningSequenceHeaderChar">
    <w:name w:val="*Learning Sequence Header Char"/>
    <w:basedOn w:val="DefaultParagraphFont"/>
    <w:link w:val="LearningSequenceHeader"/>
    <w:rsid w:val="009E3FBE"/>
    <w:rPr>
      <w:rFonts w:eastAsia="Calibri" w:cs="Times New Roman"/>
      <w:b/>
      <w:bCs/>
      <w:color w:val="4F81BD"/>
      <w:sz w:val="28"/>
      <w:szCs w:val="26"/>
      <w:lang w:val="en-US" w:eastAsia="en-US"/>
    </w:rPr>
  </w:style>
  <w:style w:type="paragraph" w:customStyle="1" w:styleId="NumberedList">
    <w:name w:val="*Numbered List"/>
    <w:link w:val="NumberedListChar"/>
    <w:qFormat/>
    <w:rsid w:val="009E3FBE"/>
    <w:pPr>
      <w:numPr>
        <w:numId w:val="5"/>
      </w:numPr>
      <w:spacing w:after="60" w:line="240" w:lineRule="auto"/>
    </w:pPr>
    <w:rPr>
      <w:rFonts w:ascii="Calibri" w:eastAsia="Calibri" w:hAnsi="Calibri" w:cs="Times New Roman"/>
      <w:lang w:val="en-US" w:eastAsia="en-US"/>
    </w:rPr>
  </w:style>
  <w:style w:type="character" w:customStyle="1" w:styleId="NumberedListChar">
    <w:name w:val="*Numbered List Char"/>
    <w:basedOn w:val="BulletedListChar"/>
    <w:link w:val="NumberedList"/>
    <w:rsid w:val="009E3FBE"/>
    <w:rPr>
      <w:rFonts w:ascii="Calibri" w:eastAsia="Calibri" w:hAnsi="Calibri" w:cs="Times New Roman"/>
      <w:lang w:val="en-US" w:eastAsia="en-US"/>
    </w:rPr>
  </w:style>
  <w:style w:type="paragraph" w:customStyle="1" w:styleId="PageHeader">
    <w:name w:val="*PageHeader"/>
    <w:link w:val="PageHeaderChar"/>
    <w:qFormat/>
    <w:rsid w:val="009E3FBE"/>
    <w:pPr>
      <w:spacing w:before="120" w:after="0" w:line="240" w:lineRule="auto"/>
    </w:pPr>
    <w:rPr>
      <w:rFonts w:ascii="Calibri" w:eastAsia="Calibri" w:hAnsi="Calibri" w:cs="Times New Roman"/>
      <w:b/>
      <w:sz w:val="18"/>
      <w:lang w:val="en-US" w:eastAsia="en-US"/>
    </w:rPr>
  </w:style>
  <w:style w:type="character" w:customStyle="1" w:styleId="PageHeaderChar">
    <w:name w:val="*PageHeader Char"/>
    <w:basedOn w:val="DefaultParagraphFont"/>
    <w:link w:val="PageHeader"/>
    <w:rsid w:val="009E3FBE"/>
    <w:rPr>
      <w:rFonts w:ascii="Calibri" w:eastAsia="Calibri" w:hAnsi="Calibri" w:cs="Times New Roman"/>
      <w:b/>
      <w:sz w:val="18"/>
      <w:lang w:val="en-US" w:eastAsia="en-US"/>
    </w:rPr>
  </w:style>
  <w:style w:type="paragraph" w:customStyle="1" w:styleId="Q">
    <w:name w:val="*Q*"/>
    <w:link w:val="QChar"/>
    <w:qFormat/>
    <w:rsid w:val="009E3FBE"/>
    <w:pPr>
      <w:spacing w:before="240" w:after="0" w:line="276" w:lineRule="auto"/>
    </w:pPr>
    <w:rPr>
      <w:rFonts w:ascii="Calibri" w:eastAsia="Calibri" w:hAnsi="Calibri" w:cs="Times New Roman"/>
      <w:b/>
      <w:lang w:val="en-US" w:eastAsia="en-US"/>
    </w:rPr>
  </w:style>
  <w:style w:type="character" w:customStyle="1" w:styleId="QChar">
    <w:name w:val="*Q* Char"/>
    <w:basedOn w:val="DefaultParagraphFont"/>
    <w:link w:val="Q"/>
    <w:rsid w:val="009E3FBE"/>
    <w:rPr>
      <w:rFonts w:ascii="Calibri" w:eastAsia="Calibri" w:hAnsi="Calibri" w:cs="Times New Roman"/>
      <w:b/>
      <w:lang w:val="en-US" w:eastAsia="en-US"/>
    </w:rPr>
  </w:style>
  <w:style w:type="paragraph" w:customStyle="1" w:styleId="SA">
    <w:name w:val="*SA*"/>
    <w:link w:val="SAChar"/>
    <w:qFormat/>
    <w:rsid w:val="009E3FBE"/>
    <w:pPr>
      <w:numPr>
        <w:numId w:val="6"/>
      </w:numPr>
      <w:spacing w:before="120" w:after="0" w:line="276" w:lineRule="auto"/>
    </w:pPr>
    <w:rPr>
      <w:rFonts w:ascii="Calibri" w:eastAsia="Calibri" w:hAnsi="Calibri" w:cs="Times New Roman"/>
      <w:lang w:val="en-US" w:eastAsia="en-US"/>
    </w:rPr>
  </w:style>
  <w:style w:type="character" w:customStyle="1" w:styleId="SAChar">
    <w:name w:val="*SA* Char"/>
    <w:basedOn w:val="DefaultParagraphFont"/>
    <w:link w:val="SA"/>
    <w:rsid w:val="009E3FBE"/>
    <w:rPr>
      <w:rFonts w:ascii="Calibri" w:eastAsia="Calibri" w:hAnsi="Calibri" w:cs="Times New Roman"/>
      <w:lang w:val="en-US" w:eastAsia="en-US"/>
    </w:rPr>
  </w:style>
  <w:style w:type="paragraph" w:customStyle="1" w:styleId="SASRBullet">
    <w:name w:val="*SA/SR Bullet"/>
    <w:basedOn w:val="Normal"/>
    <w:link w:val="SASRBulletChar"/>
    <w:qFormat/>
    <w:rsid w:val="009E3FBE"/>
    <w:pPr>
      <w:numPr>
        <w:ilvl w:val="1"/>
        <w:numId w:val="7"/>
      </w:numPr>
      <w:spacing w:before="120"/>
      <w:contextualSpacing/>
    </w:pPr>
  </w:style>
  <w:style w:type="character" w:customStyle="1" w:styleId="SASRBulletChar">
    <w:name w:val="*SA/SR Bullet Char"/>
    <w:basedOn w:val="DefaultParagraphFont"/>
    <w:link w:val="SASRBullet"/>
    <w:rsid w:val="009E3FBE"/>
    <w:rPr>
      <w:rFonts w:ascii="Calibri" w:eastAsia="Calibri" w:hAnsi="Calibri" w:cs="Times New Roman"/>
      <w:lang w:val="en-US" w:eastAsia="en-US"/>
    </w:rPr>
  </w:style>
  <w:style w:type="paragraph" w:customStyle="1" w:styleId="SR">
    <w:name w:val="*SR*"/>
    <w:link w:val="SRChar"/>
    <w:qFormat/>
    <w:rsid w:val="009E3FBE"/>
    <w:pPr>
      <w:numPr>
        <w:numId w:val="8"/>
      </w:numPr>
      <w:spacing w:before="120" w:after="0" w:line="276" w:lineRule="auto"/>
    </w:pPr>
    <w:rPr>
      <w:rFonts w:ascii="Calibri" w:eastAsia="Calibri" w:hAnsi="Calibri" w:cs="Times New Roman"/>
      <w:lang w:val="en-US" w:eastAsia="en-US"/>
    </w:rPr>
  </w:style>
  <w:style w:type="character" w:customStyle="1" w:styleId="SRChar">
    <w:name w:val="*SR* Char"/>
    <w:basedOn w:val="DefaultParagraphFont"/>
    <w:link w:val="SR"/>
    <w:rsid w:val="009E3FBE"/>
    <w:rPr>
      <w:rFonts w:ascii="Calibri" w:eastAsia="Calibri" w:hAnsi="Calibri" w:cs="Times New Roman"/>
      <w:lang w:val="en-US" w:eastAsia="en-US"/>
    </w:rPr>
  </w:style>
  <w:style w:type="paragraph" w:customStyle="1" w:styleId="TA">
    <w:name w:val="*TA*"/>
    <w:link w:val="TAChar"/>
    <w:qFormat/>
    <w:rsid w:val="009E3FBE"/>
    <w:pPr>
      <w:spacing w:before="180" w:after="180" w:line="240" w:lineRule="auto"/>
    </w:pPr>
    <w:rPr>
      <w:rFonts w:ascii="Calibri" w:eastAsia="Calibri" w:hAnsi="Calibri" w:cs="Times New Roman"/>
      <w:lang w:val="en-US" w:eastAsia="en-US"/>
    </w:rPr>
  </w:style>
  <w:style w:type="character" w:customStyle="1" w:styleId="TAChar">
    <w:name w:val="*TA* Char"/>
    <w:basedOn w:val="DefaultParagraphFont"/>
    <w:link w:val="TA"/>
    <w:rsid w:val="009E3FBE"/>
    <w:rPr>
      <w:rFonts w:ascii="Calibri" w:eastAsia="Calibri" w:hAnsi="Calibri" w:cs="Times New Roman"/>
      <w:lang w:val="en-US" w:eastAsia="en-US"/>
    </w:rPr>
  </w:style>
  <w:style w:type="paragraph" w:customStyle="1" w:styleId="TableHeaders">
    <w:name w:val="*TableHeaders"/>
    <w:basedOn w:val="Normal"/>
    <w:link w:val="TableHeadersChar"/>
    <w:qFormat/>
    <w:rsid w:val="009E3FBE"/>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9E3FBE"/>
    <w:rPr>
      <w:rFonts w:ascii="Calibri" w:eastAsia="Calibri" w:hAnsi="Calibri" w:cs="Times New Roman"/>
      <w:b/>
      <w:color w:val="FFFFFF" w:themeColor="background1"/>
      <w:lang w:val="en-US" w:eastAsia="en-US"/>
    </w:rPr>
  </w:style>
  <w:style w:type="paragraph" w:customStyle="1" w:styleId="TableText">
    <w:name w:val="*TableText"/>
    <w:link w:val="TableTextChar"/>
    <w:qFormat/>
    <w:rsid w:val="009E3FBE"/>
    <w:pPr>
      <w:spacing w:before="40" w:after="40" w:line="276" w:lineRule="auto"/>
    </w:pPr>
    <w:rPr>
      <w:rFonts w:ascii="Calibri" w:eastAsia="Calibri" w:hAnsi="Calibri" w:cs="Times New Roman"/>
      <w:lang w:val="en-US" w:eastAsia="en-US"/>
    </w:rPr>
  </w:style>
  <w:style w:type="character" w:customStyle="1" w:styleId="TableTextChar">
    <w:name w:val="*TableText Char"/>
    <w:basedOn w:val="DefaultParagraphFont"/>
    <w:link w:val="TableText"/>
    <w:rsid w:val="009E3FBE"/>
    <w:rPr>
      <w:rFonts w:ascii="Calibri" w:eastAsia="Calibri" w:hAnsi="Calibri" w:cs="Times New Roman"/>
      <w:lang w:val="en-US" w:eastAsia="en-US"/>
    </w:rPr>
  </w:style>
  <w:style w:type="paragraph" w:customStyle="1" w:styleId="ToolHeader">
    <w:name w:val="*ToolHeader"/>
    <w:qFormat/>
    <w:rsid w:val="009E3FBE"/>
    <w:pPr>
      <w:spacing w:after="120" w:line="240" w:lineRule="auto"/>
    </w:pPr>
    <w:rPr>
      <w:rFonts w:eastAsia="Calibri" w:cs="Times New Roman"/>
      <w:b/>
      <w:bCs/>
      <w:color w:val="365F91"/>
      <w:sz w:val="32"/>
      <w:szCs w:val="28"/>
      <w:lang w:val="en-US" w:eastAsia="en-US"/>
    </w:rPr>
  </w:style>
  <w:style w:type="paragraph" w:customStyle="1" w:styleId="ToolTableText">
    <w:name w:val="*ToolTableText"/>
    <w:qFormat/>
    <w:rsid w:val="009E3FBE"/>
    <w:pPr>
      <w:spacing w:before="40" w:after="120" w:line="240" w:lineRule="auto"/>
    </w:pPr>
    <w:rPr>
      <w:rFonts w:ascii="Calibri" w:eastAsia="Calibri" w:hAnsi="Calibri" w:cs="Times New Roman"/>
      <w:lang w:val="en-US" w:eastAsia="en-US"/>
    </w:rPr>
  </w:style>
  <w:style w:type="character" w:customStyle="1" w:styleId="apple-converted-space">
    <w:name w:val="apple-converted-space"/>
    <w:rsid w:val="009E3FBE"/>
  </w:style>
  <w:style w:type="paragraph" w:styleId="BalloonText">
    <w:name w:val="Balloon Text"/>
    <w:basedOn w:val="Normal"/>
    <w:link w:val="BalloonTextChar"/>
    <w:uiPriority w:val="99"/>
    <w:semiHidden/>
    <w:unhideWhenUsed/>
    <w:rsid w:val="009E3FBE"/>
    <w:rPr>
      <w:rFonts w:ascii="Tahoma" w:hAnsi="Tahoma"/>
      <w:sz w:val="16"/>
      <w:szCs w:val="16"/>
    </w:rPr>
  </w:style>
  <w:style w:type="character" w:customStyle="1" w:styleId="BalloonTextChar">
    <w:name w:val="Balloon Text Char"/>
    <w:link w:val="BalloonText"/>
    <w:uiPriority w:val="99"/>
    <w:semiHidden/>
    <w:rsid w:val="009E3FBE"/>
    <w:rPr>
      <w:rFonts w:ascii="Tahoma" w:eastAsia="Calibri" w:hAnsi="Tahoma" w:cs="Times New Roman"/>
      <w:sz w:val="16"/>
      <w:szCs w:val="16"/>
      <w:lang w:val="en-US" w:eastAsia="en-US"/>
    </w:rPr>
  </w:style>
  <w:style w:type="paragraph" w:styleId="BodyText">
    <w:name w:val="Body Text"/>
    <w:basedOn w:val="Normal"/>
    <w:link w:val="BodyTextChar"/>
    <w:rsid w:val="009E3FBE"/>
    <w:pPr>
      <w:spacing w:after="120"/>
    </w:pPr>
  </w:style>
  <w:style w:type="character" w:customStyle="1" w:styleId="BodyTextChar">
    <w:name w:val="Body Text Char"/>
    <w:link w:val="BodyText"/>
    <w:rsid w:val="009E3FBE"/>
    <w:rPr>
      <w:rFonts w:ascii="Calibri" w:eastAsia="Calibri" w:hAnsi="Calibri" w:cs="Times New Roman"/>
      <w:lang w:val="en-US" w:eastAsia="en-US"/>
    </w:rPr>
  </w:style>
  <w:style w:type="paragraph" w:customStyle="1" w:styleId="ColorfulList-Accent11">
    <w:name w:val="Colorful List - Accent 11"/>
    <w:basedOn w:val="Normal"/>
    <w:uiPriority w:val="34"/>
    <w:rsid w:val="009E3FBE"/>
    <w:pPr>
      <w:ind w:left="720"/>
      <w:contextualSpacing/>
    </w:pPr>
  </w:style>
  <w:style w:type="character" w:styleId="CommentReference">
    <w:name w:val="annotation reference"/>
    <w:uiPriority w:val="99"/>
    <w:semiHidden/>
    <w:unhideWhenUsed/>
    <w:rsid w:val="009E3FBE"/>
    <w:rPr>
      <w:sz w:val="16"/>
      <w:szCs w:val="16"/>
    </w:rPr>
  </w:style>
  <w:style w:type="paragraph" w:styleId="CommentText">
    <w:name w:val="annotation text"/>
    <w:basedOn w:val="Normal"/>
    <w:link w:val="CommentTextChar"/>
    <w:uiPriority w:val="99"/>
    <w:unhideWhenUsed/>
    <w:rsid w:val="009E3FBE"/>
    <w:rPr>
      <w:sz w:val="20"/>
    </w:rPr>
  </w:style>
  <w:style w:type="character" w:customStyle="1" w:styleId="CommentTextChar">
    <w:name w:val="Comment Text Char"/>
    <w:link w:val="CommentText"/>
    <w:uiPriority w:val="99"/>
    <w:rsid w:val="009E3FBE"/>
    <w:rPr>
      <w:rFonts w:ascii="Calibri" w:eastAsia="Calibri" w:hAnsi="Calibri" w:cs="Times New Roman"/>
      <w:sz w:val="20"/>
      <w:lang w:val="en-US" w:eastAsia="en-US"/>
    </w:rPr>
  </w:style>
  <w:style w:type="paragraph" w:styleId="CommentSubject">
    <w:name w:val="annotation subject"/>
    <w:basedOn w:val="CommentText"/>
    <w:next w:val="CommentText"/>
    <w:link w:val="CommentSubjectChar"/>
    <w:uiPriority w:val="99"/>
    <w:semiHidden/>
    <w:unhideWhenUsed/>
    <w:rsid w:val="009E3FBE"/>
    <w:rPr>
      <w:b/>
      <w:bCs/>
    </w:rPr>
  </w:style>
  <w:style w:type="character" w:customStyle="1" w:styleId="CommentSubjectChar">
    <w:name w:val="Comment Subject Char"/>
    <w:link w:val="CommentSubject"/>
    <w:uiPriority w:val="99"/>
    <w:semiHidden/>
    <w:rsid w:val="009E3FBE"/>
    <w:rPr>
      <w:rFonts w:ascii="Calibri" w:eastAsia="Calibri" w:hAnsi="Calibri" w:cs="Times New Roman"/>
      <w:b/>
      <w:bCs/>
      <w:sz w:val="20"/>
      <w:lang w:val="en-US" w:eastAsia="en-US"/>
    </w:rPr>
  </w:style>
  <w:style w:type="paragraph" w:customStyle="1" w:styleId="folio">
    <w:name w:val="folio"/>
    <w:basedOn w:val="Normal"/>
    <w:link w:val="folioChar"/>
    <w:rsid w:val="009E3FBE"/>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9E3FBE"/>
    <w:rPr>
      <w:rFonts w:ascii="Verdana" w:eastAsia="Verdana" w:hAnsi="Verdana" w:cs="Verdana"/>
      <w:color w:val="595959"/>
      <w:sz w:val="16"/>
      <w:lang w:val="en-US" w:eastAsia="en-US"/>
    </w:rPr>
  </w:style>
  <w:style w:type="character" w:styleId="FollowedHyperlink">
    <w:name w:val="FollowedHyperlink"/>
    <w:uiPriority w:val="99"/>
    <w:semiHidden/>
    <w:unhideWhenUsed/>
    <w:rsid w:val="009E3FBE"/>
    <w:rPr>
      <w:color w:val="954F72"/>
      <w:u w:val="single"/>
    </w:rPr>
  </w:style>
  <w:style w:type="character" w:styleId="FootnoteReference">
    <w:name w:val="footnote reference"/>
    <w:basedOn w:val="DefaultParagraphFont"/>
    <w:uiPriority w:val="99"/>
    <w:semiHidden/>
    <w:unhideWhenUsed/>
    <w:rsid w:val="009E3FBE"/>
    <w:rPr>
      <w:vertAlign w:val="superscript"/>
    </w:rPr>
  </w:style>
  <w:style w:type="paragraph" w:styleId="FootnoteText">
    <w:name w:val="footnote text"/>
    <w:basedOn w:val="Normal"/>
    <w:link w:val="FootnoteTextChar"/>
    <w:uiPriority w:val="99"/>
    <w:semiHidden/>
    <w:unhideWhenUsed/>
    <w:rsid w:val="009E3FBE"/>
    <w:rPr>
      <w:sz w:val="20"/>
    </w:rPr>
  </w:style>
  <w:style w:type="character" w:customStyle="1" w:styleId="FootnoteTextChar">
    <w:name w:val="Footnote Text Char"/>
    <w:basedOn w:val="DefaultParagraphFont"/>
    <w:link w:val="FootnoteText"/>
    <w:uiPriority w:val="99"/>
    <w:semiHidden/>
    <w:rsid w:val="009E3FBE"/>
    <w:rPr>
      <w:rFonts w:ascii="Calibri" w:eastAsia="Calibri" w:hAnsi="Calibri" w:cs="Times New Roman"/>
      <w:sz w:val="20"/>
      <w:lang w:val="en-US" w:eastAsia="en-US"/>
    </w:rPr>
  </w:style>
  <w:style w:type="paragraph" w:customStyle="1" w:styleId="Header-banner">
    <w:name w:val="Header-banner"/>
    <w:qFormat/>
    <w:rsid w:val="009E3FBE"/>
    <w:pPr>
      <w:spacing w:after="0" w:line="240" w:lineRule="auto"/>
      <w:ind w:left="43" w:right="43"/>
      <w:jc w:val="center"/>
    </w:pPr>
    <w:rPr>
      <w:rFonts w:ascii="Cambria" w:eastAsia="Calibri" w:hAnsi="Cambria" w:cs="Calibri"/>
      <w:b/>
      <w:bCs/>
      <w:caps/>
      <w:color w:val="FFFFFF"/>
      <w:sz w:val="44"/>
      <w:lang w:val="en-US" w:eastAsia="en-US"/>
    </w:rPr>
  </w:style>
  <w:style w:type="paragraph" w:customStyle="1" w:styleId="Header2banner">
    <w:name w:val="Header2_banner"/>
    <w:basedOn w:val="Header-banner"/>
    <w:qFormat/>
    <w:rsid w:val="009E3FBE"/>
    <w:pPr>
      <w:spacing w:line="440" w:lineRule="exact"/>
      <w:jc w:val="left"/>
    </w:pPr>
    <w:rPr>
      <w:caps w:val="0"/>
    </w:rPr>
  </w:style>
  <w:style w:type="character" w:customStyle="1" w:styleId="Heading1Char">
    <w:name w:val="Heading 1 Char"/>
    <w:aliases w:val="*Headers Char"/>
    <w:link w:val="Heading1"/>
    <w:uiPriority w:val="9"/>
    <w:rsid w:val="009E3FBE"/>
    <w:rPr>
      <w:rFonts w:eastAsia="Calibri" w:cs="Times New Roman"/>
      <w:b/>
      <w:bCs/>
      <w:color w:val="365F91"/>
      <w:sz w:val="32"/>
      <w:szCs w:val="28"/>
      <w:lang w:val="en-US" w:eastAsia="en-US"/>
    </w:rPr>
  </w:style>
  <w:style w:type="character" w:customStyle="1" w:styleId="Heading2Char">
    <w:name w:val="Heading 2 Char"/>
    <w:link w:val="Heading2"/>
    <w:uiPriority w:val="9"/>
    <w:rsid w:val="009E3FBE"/>
    <w:rPr>
      <w:rFonts w:ascii="Cambria" w:eastAsia="Calibri" w:hAnsi="Cambria" w:cs="Times New Roman"/>
      <w:b/>
      <w:bCs/>
      <w:i/>
      <w:color w:val="4F81BD"/>
      <w:sz w:val="26"/>
      <w:szCs w:val="26"/>
      <w:lang w:val="en-US" w:eastAsia="en-US"/>
    </w:rPr>
  </w:style>
  <w:style w:type="character" w:customStyle="1" w:styleId="Heading3Char">
    <w:name w:val="Heading 3 Char"/>
    <w:link w:val="Heading3"/>
    <w:uiPriority w:val="9"/>
    <w:rsid w:val="009E3FBE"/>
    <w:rPr>
      <w:rFonts w:ascii="Cambria" w:eastAsia="Calibri" w:hAnsi="Cambria" w:cs="Times New Roman"/>
      <w:b/>
      <w:bCs/>
      <w:i/>
      <w:color w:val="7F7F7F"/>
      <w:sz w:val="20"/>
      <w:lang w:val="en-US" w:eastAsia="en-US"/>
    </w:rPr>
  </w:style>
  <w:style w:type="character" w:styleId="Hyperlink">
    <w:name w:val="Hyperlink"/>
    <w:uiPriority w:val="99"/>
    <w:unhideWhenUsed/>
    <w:rsid w:val="009E3FBE"/>
    <w:rPr>
      <w:color w:val="0000FF"/>
      <w:u w:val="single"/>
    </w:rPr>
  </w:style>
  <w:style w:type="paragraph" w:styleId="ListParagraph">
    <w:name w:val="List Paragraph"/>
    <w:basedOn w:val="Normal"/>
    <w:link w:val="ListParagraphChar"/>
    <w:uiPriority w:val="34"/>
    <w:qFormat/>
    <w:rsid w:val="009E3FBE"/>
    <w:pPr>
      <w:ind w:left="720"/>
      <w:contextualSpacing/>
    </w:pPr>
  </w:style>
  <w:style w:type="character" w:customStyle="1" w:styleId="ListParagraphChar">
    <w:name w:val="List Paragraph Char"/>
    <w:basedOn w:val="DefaultParagraphFont"/>
    <w:link w:val="ListParagraph"/>
    <w:uiPriority w:val="34"/>
    <w:rsid w:val="009E3FBE"/>
    <w:rPr>
      <w:rFonts w:ascii="Calibri" w:eastAsia="Calibri" w:hAnsi="Calibri" w:cs="Times New Roman"/>
      <w:lang w:val="en-US" w:eastAsia="en-US"/>
    </w:rPr>
  </w:style>
  <w:style w:type="paragraph" w:customStyle="1" w:styleId="MediumGrid1-Accent21">
    <w:name w:val="Medium Grid 1 - Accent 21"/>
    <w:basedOn w:val="Normal"/>
    <w:uiPriority w:val="34"/>
    <w:rsid w:val="009E3FBE"/>
    <w:pPr>
      <w:ind w:left="720"/>
      <w:contextualSpacing/>
    </w:pPr>
  </w:style>
  <w:style w:type="paragraph" w:customStyle="1" w:styleId="MediumList2-Accent41">
    <w:name w:val="Medium List 2 - Accent 41"/>
    <w:basedOn w:val="Normal"/>
    <w:link w:val="MediumList2-Accent41Char"/>
    <w:uiPriority w:val="34"/>
    <w:rsid w:val="009E3FBE"/>
    <w:pPr>
      <w:spacing w:after="200"/>
      <w:ind w:left="720"/>
      <w:contextualSpacing/>
    </w:pPr>
  </w:style>
  <w:style w:type="character" w:customStyle="1" w:styleId="MediumList2-Accent41Char">
    <w:name w:val="Medium List 2 - Accent 41 Char"/>
    <w:basedOn w:val="DefaultParagraphFont"/>
    <w:link w:val="MediumList2-Accent41"/>
    <w:uiPriority w:val="34"/>
    <w:rsid w:val="009E3FBE"/>
    <w:rPr>
      <w:rFonts w:ascii="Calibri" w:eastAsia="Calibri" w:hAnsi="Calibri" w:cs="Times New Roman"/>
      <w:lang w:val="en-US" w:eastAsia="en-US"/>
    </w:rPr>
  </w:style>
  <w:style w:type="paragraph" w:customStyle="1" w:styleId="NoSpacing1">
    <w:name w:val="No Spacing1"/>
    <w:link w:val="NoSpacingChar"/>
    <w:rsid w:val="009E3FBE"/>
    <w:pPr>
      <w:spacing w:after="0" w:line="240" w:lineRule="auto"/>
    </w:pPr>
    <w:rPr>
      <w:rFonts w:ascii="Tahoma" w:eastAsia="Calibri" w:hAnsi="Tahoma" w:cs="Times New Roman"/>
      <w:sz w:val="19"/>
      <w:lang w:val="en-US" w:eastAsia="en-US"/>
    </w:rPr>
  </w:style>
  <w:style w:type="character" w:customStyle="1" w:styleId="NoSpacingChar">
    <w:name w:val="No Spacing Char"/>
    <w:link w:val="NoSpacing1"/>
    <w:rsid w:val="009E3FBE"/>
    <w:rPr>
      <w:rFonts w:ascii="Tahoma" w:eastAsia="Calibri" w:hAnsi="Tahoma" w:cs="Times New Roman"/>
      <w:sz w:val="19"/>
      <w:lang w:val="en-US" w:eastAsia="en-US"/>
    </w:rPr>
  </w:style>
  <w:style w:type="paragraph" w:styleId="NormalWeb">
    <w:name w:val="Normal (Web)"/>
    <w:basedOn w:val="Normal"/>
    <w:uiPriority w:val="99"/>
    <w:unhideWhenUsed/>
    <w:rsid w:val="009E3FBE"/>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9E3FBE"/>
    <w:pPr>
      <w:autoSpaceDE w:val="0"/>
      <w:autoSpaceDN w:val="0"/>
      <w:adjustRightInd w:val="0"/>
      <w:spacing w:line="241" w:lineRule="atLeast"/>
    </w:pPr>
    <w:rPr>
      <w:rFonts w:ascii="Garamond" w:hAnsi="Garamond"/>
      <w:sz w:val="24"/>
      <w:szCs w:val="24"/>
    </w:rPr>
  </w:style>
  <w:style w:type="character" w:styleId="PageNumber">
    <w:name w:val="page number"/>
    <w:uiPriority w:val="99"/>
    <w:rsid w:val="009E3FBE"/>
    <w:rPr>
      <w:rFonts w:cs="Times New Roman"/>
    </w:rPr>
  </w:style>
  <w:style w:type="character" w:customStyle="1" w:styleId="reference-text">
    <w:name w:val="reference-text"/>
    <w:rsid w:val="009E3FBE"/>
  </w:style>
  <w:style w:type="table" w:styleId="TableGrid">
    <w:name w:val="Table Grid"/>
    <w:basedOn w:val="TableNormal"/>
    <w:uiPriority w:val="59"/>
    <w:rsid w:val="009E3FBE"/>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9E3FBE"/>
    <w:rPr>
      <w:rFonts w:ascii="Cambria" w:eastAsia="Calibri" w:hAnsi="Cambria" w:cs="Times New Roman"/>
      <w:color w:val="17365D"/>
      <w:spacing w:val="5"/>
      <w:kern w:val="28"/>
      <w:sz w:val="52"/>
      <w:szCs w:val="52"/>
      <w:lang w:val="en-US" w:eastAsia="en-US"/>
    </w:rPr>
  </w:style>
  <w:style w:type="paragraph" w:customStyle="1" w:styleId="Heading1nospace">
    <w:name w:val="Heading 1 no space"/>
    <w:basedOn w:val="Heading1"/>
    <w:qFormat/>
    <w:rsid w:val="00B86216"/>
    <w:pPr>
      <w:keepLines w:val="0"/>
      <w:spacing w:before="0" w:after="60" w:line="460" w:lineRule="exact"/>
      <w:jc w:val="center"/>
    </w:pPr>
    <w:rPr>
      <w:rFonts w:asciiTheme="majorHAnsi" w:eastAsia="Cambria" w:hAnsiTheme="majorHAnsi" w:cs="Cambria"/>
      <w:color w:val="244061" w:themeColor="accent1" w:themeShade="80"/>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10.1.1 Unit Overview.docx</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 Unit Overview.docx</dc:title>
  <dc:creator>PCG Education</dc:creator>
  <cp:lastModifiedBy>Chmielewski, Elizabeth</cp:lastModifiedBy>
  <cp:revision>3</cp:revision>
  <cp:lastPrinted>2014-02-03T22:38:00Z</cp:lastPrinted>
  <dcterms:created xsi:type="dcterms:W3CDTF">2014-02-04T02:27:00Z</dcterms:created>
  <dcterms:modified xsi:type="dcterms:W3CDTF">2014-02-04T02:27:00Z</dcterms:modified>
</cp:coreProperties>
</file>