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75"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4"/>
        <w:gridCol w:w="7491"/>
      </w:tblGrid>
      <w:tr w:rsidR="00B86216" w:rsidRPr="00EB4001">
        <w:trPr>
          <w:trHeight w:val="1008"/>
        </w:trPr>
        <w:tc>
          <w:tcPr>
            <w:tcW w:w="1984" w:type="dxa"/>
            <w:tcBorders>
              <w:top w:val="nil"/>
              <w:bottom w:val="single" w:sz="18" w:space="0" w:color="FFFFFF" w:themeColor="background1"/>
            </w:tcBorders>
            <w:shd w:val="clear" w:color="1F497D" w:themeColor="text2" w:fill="403152" w:themeFill="accent4" w:themeFillShade="80"/>
            <w:vAlign w:val="center"/>
          </w:tcPr>
          <w:p w:rsidR="00B86216" w:rsidRPr="00EB4001" w:rsidRDefault="00B86216" w:rsidP="00531582">
            <w:pPr>
              <w:pStyle w:val="Header-banner"/>
              <w:rPr>
                <w:rFonts w:asciiTheme="minorHAnsi" w:hAnsiTheme="minorHAnsi"/>
              </w:rPr>
            </w:pPr>
            <w:bookmarkStart w:id="0" w:name="_Toc356982305"/>
            <w:r>
              <w:rPr>
                <w:rFonts w:asciiTheme="minorHAnsi" w:hAnsiTheme="minorHAnsi"/>
              </w:rPr>
              <w:t>10.1</w:t>
            </w:r>
            <w:r w:rsidR="00B544FF">
              <w:rPr>
                <w:rFonts w:asciiTheme="minorHAnsi" w:hAnsiTheme="minorHAnsi"/>
              </w:rPr>
              <w:t>.1</w:t>
            </w:r>
          </w:p>
        </w:tc>
        <w:tc>
          <w:tcPr>
            <w:tcW w:w="7491" w:type="dxa"/>
            <w:tcBorders>
              <w:top w:val="nil"/>
              <w:bottom w:val="single" w:sz="18" w:space="0" w:color="FFFFFF" w:themeColor="background1"/>
            </w:tcBorders>
            <w:shd w:val="clear" w:color="1F497D" w:themeColor="text2" w:fill="5F497A" w:themeFill="accent4" w:themeFillShade="BF"/>
            <w:vAlign w:val="center"/>
          </w:tcPr>
          <w:p w:rsidR="00B86216" w:rsidRPr="00EB4001" w:rsidRDefault="00B86216" w:rsidP="00531582">
            <w:pPr>
              <w:pStyle w:val="Header2banner"/>
              <w:rPr>
                <w:rFonts w:asciiTheme="minorHAnsi" w:hAnsiTheme="minorHAnsi"/>
              </w:rPr>
            </w:pPr>
            <w:r>
              <w:rPr>
                <w:rFonts w:asciiTheme="minorHAnsi" w:hAnsiTheme="minorHAnsi"/>
              </w:rPr>
              <w:t>Unit</w:t>
            </w:r>
            <w:r w:rsidRPr="00EB4001">
              <w:rPr>
                <w:rFonts w:asciiTheme="minorHAnsi" w:hAnsiTheme="minorHAnsi"/>
              </w:rPr>
              <w:t xml:space="preserve"> Overview</w:t>
            </w:r>
          </w:p>
        </w:tc>
      </w:tr>
      <w:tr w:rsidR="00B86216" w:rsidRPr="0015343B">
        <w:trPr>
          <w:trHeight w:val="720"/>
        </w:trPr>
        <w:tc>
          <w:tcPr>
            <w:tcW w:w="9475" w:type="dxa"/>
            <w:gridSpan w:val="2"/>
            <w:tcBorders>
              <w:bottom w:val="single" w:sz="8" w:space="0" w:color="403152" w:themeColor="accent4" w:themeShade="80"/>
            </w:tcBorders>
            <w:shd w:val="solid" w:color="F2F2F2" w:themeColor="background1" w:themeShade="F2" w:fill="auto"/>
            <w:vAlign w:val="center"/>
          </w:tcPr>
          <w:p w:rsidR="00B86216" w:rsidRPr="00826181" w:rsidRDefault="00B86216" w:rsidP="00B544FF">
            <w:pPr>
              <w:pStyle w:val="Heading1nospace"/>
              <w:rPr>
                <w:rFonts w:asciiTheme="minorHAnsi" w:hAnsiTheme="minorHAnsi"/>
                <w:color w:val="auto"/>
              </w:rPr>
            </w:pPr>
            <w:r w:rsidRPr="00B86216">
              <w:rPr>
                <w:rFonts w:ascii="Calibri" w:hAnsi="Calibri"/>
                <w:color w:val="auto"/>
              </w:rPr>
              <w:t>“</w:t>
            </w:r>
            <w:r w:rsidR="00B544FF" w:rsidRPr="00B544FF">
              <w:rPr>
                <w:rFonts w:ascii="Calibri" w:hAnsi="Calibri"/>
                <w:color w:val="auto"/>
              </w:rPr>
              <w:t>We cannot go to the country / for the country will bring us / no peace”</w:t>
            </w:r>
          </w:p>
        </w:tc>
      </w:tr>
      <w:tr w:rsidR="00B86216" w:rsidRPr="003F77B8">
        <w:trPr>
          <w:trHeight w:val="576"/>
        </w:trPr>
        <w:tc>
          <w:tcPr>
            <w:tcW w:w="1984" w:type="dxa"/>
            <w:tcBorders>
              <w:top w:val="single" w:sz="8" w:space="0" w:color="403152" w:themeColor="accent4" w:themeShade="80"/>
              <w:bottom w:val="single" w:sz="8" w:space="0" w:color="403152" w:themeColor="accent4" w:themeShade="80"/>
            </w:tcBorders>
            <w:shd w:val="solid" w:color="F2F2F2" w:themeColor="background1" w:themeShade="F2" w:fill="auto"/>
          </w:tcPr>
          <w:p w:rsidR="00B86216" w:rsidRPr="009C7B69" w:rsidRDefault="00B86216" w:rsidP="00E8449F">
            <w:pPr>
              <w:rPr>
                <w:b/>
                <w:color w:val="244061" w:themeColor="accent1" w:themeShade="80"/>
              </w:rPr>
            </w:pPr>
            <w:r w:rsidRPr="009C7B69">
              <w:rPr>
                <w:b/>
                <w:color w:val="244061" w:themeColor="accent1" w:themeShade="80"/>
              </w:rPr>
              <w:t>Texts</w:t>
            </w:r>
          </w:p>
        </w:tc>
        <w:tc>
          <w:tcPr>
            <w:tcW w:w="7491" w:type="dxa"/>
            <w:tcBorders>
              <w:top w:val="single" w:sz="8" w:space="0" w:color="403152" w:themeColor="accent4" w:themeShade="80"/>
              <w:bottom w:val="single" w:sz="8" w:space="0" w:color="403152" w:themeColor="accent4" w:themeShade="80"/>
            </w:tcBorders>
            <w:shd w:val="solid" w:color="F2F2F2" w:themeColor="background1" w:themeShade="F2" w:fill="auto"/>
          </w:tcPr>
          <w:p w:rsidR="00E8449F" w:rsidRPr="002766BF" w:rsidRDefault="00B86216" w:rsidP="00C11456">
            <w:r w:rsidRPr="00EB4001">
              <w:rPr>
                <w:b/>
              </w:rPr>
              <w:t xml:space="preserve">Unit </w:t>
            </w:r>
            <w:r w:rsidR="00B544FF">
              <w:rPr>
                <w:b/>
              </w:rPr>
              <w:t>1</w:t>
            </w:r>
            <w:r w:rsidRPr="00EB4001">
              <w:rPr>
                <w:b/>
              </w:rPr>
              <w:t>:</w:t>
            </w:r>
            <w:r w:rsidRPr="00EB4001">
              <w:t xml:space="preserve"> </w:t>
            </w:r>
            <w:r w:rsidR="00862975">
              <w:t>“The Passionate Shepherd to H</w:t>
            </w:r>
            <w:r w:rsidR="00B544FF" w:rsidRPr="00B544FF">
              <w:t>is Love” by Christopher Marlowe, “The Nymph’s Reply to the Shepherd” by Sir Walter Raleigh</w:t>
            </w:r>
            <w:r w:rsidR="00AE74FF">
              <w:t>,</w:t>
            </w:r>
            <w:r w:rsidR="00B544FF" w:rsidRPr="00B544FF">
              <w:t xml:space="preserve"> and “Raleigh </w:t>
            </w:r>
            <w:r w:rsidR="00C11456">
              <w:t>W</w:t>
            </w:r>
            <w:r w:rsidR="00C11456" w:rsidRPr="00B544FF">
              <w:t xml:space="preserve">as </w:t>
            </w:r>
            <w:r w:rsidR="00B544FF" w:rsidRPr="00B544FF">
              <w:t>Right” by William Carlos Williams.</w:t>
            </w:r>
          </w:p>
        </w:tc>
      </w:tr>
      <w:tr w:rsidR="00E8449F" w:rsidRPr="003F77B8">
        <w:trPr>
          <w:trHeight w:val="576"/>
        </w:trPr>
        <w:tc>
          <w:tcPr>
            <w:tcW w:w="1984" w:type="dxa"/>
            <w:tcBorders>
              <w:top w:val="single" w:sz="8" w:space="0" w:color="403152" w:themeColor="accent4" w:themeShade="80"/>
            </w:tcBorders>
            <w:shd w:val="solid" w:color="F2F2F2" w:themeColor="background1" w:themeShade="F2" w:fill="auto"/>
            <w:vAlign w:val="center"/>
          </w:tcPr>
          <w:p w:rsidR="00E8449F" w:rsidRPr="009C7B69" w:rsidRDefault="00E8449F" w:rsidP="007F5F49">
            <w:pPr>
              <w:rPr>
                <w:b/>
                <w:color w:val="244061" w:themeColor="accent1" w:themeShade="80"/>
              </w:rPr>
            </w:pPr>
            <w:r w:rsidRPr="009C7B69">
              <w:rPr>
                <w:b/>
                <w:color w:val="244061" w:themeColor="accent1" w:themeShade="80"/>
              </w:rPr>
              <w:t>Number of Lessons in Unit</w:t>
            </w:r>
          </w:p>
        </w:tc>
        <w:tc>
          <w:tcPr>
            <w:tcW w:w="7491" w:type="dxa"/>
            <w:tcBorders>
              <w:top w:val="single" w:sz="8" w:space="0" w:color="403152" w:themeColor="accent4" w:themeShade="80"/>
            </w:tcBorders>
            <w:shd w:val="solid" w:color="F2F2F2" w:themeColor="background1" w:themeShade="F2" w:fill="auto"/>
            <w:vAlign w:val="center"/>
          </w:tcPr>
          <w:p w:rsidR="00E8449F" w:rsidRDefault="00B544FF" w:rsidP="007F5F49">
            <w:r>
              <w:t>7</w:t>
            </w:r>
          </w:p>
        </w:tc>
      </w:tr>
    </w:tbl>
    <w:bookmarkEnd w:id="0"/>
    <w:p w:rsidR="001F53B2" w:rsidRDefault="00B15AEC">
      <w:pPr>
        <w:pStyle w:val="Heading1"/>
      </w:pPr>
      <w:r>
        <w:t>Introduction</w:t>
      </w:r>
    </w:p>
    <w:p w:rsidR="00B544FF" w:rsidRDefault="00B544FF" w:rsidP="00DD69ED">
      <w:r>
        <w:t xml:space="preserve">In the first unit of Module 10.1, students </w:t>
      </w:r>
      <w:r w:rsidR="00A8344F">
        <w:t>are</w:t>
      </w:r>
      <w:r>
        <w:t xml:space="preserve"> introduced to many of the foundational skills, practices, and routines that they build upon and strengthen throughout the unit: close reading, annotating text, and evidence</w:t>
      </w:r>
      <w:r w:rsidR="00A8344F">
        <w:t>-</w:t>
      </w:r>
      <w:r>
        <w:t xml:space="preserve">based discussion and writing. Students make connections across three texts as </w:t>
      </w:r>
      <w:r w:rsidRPr="00B544FF">
        <w:rPr>
          <w:spacing w:val="-2"/>
        </w:rPr>
        <w:t>they explore how authors draw upon and transform source material in the development of central ideas</w:t>
      </w:r>
      <w:r>
        <w:t>.</w:t>
      </w:r>
    </w:p>
    <w:p w:rsidR="00B544FF" w:rsidRDefault="00B544FF" w:rsidP="00DD69ED">
      <w:r>
        <w:t>Students analyze how authors shape, refine, and transform shared central ideas as they read three thematically related poems: Christopher Marlowe’s iconic poe</w:t>
      </w:r>
      <w:r w:rsidR="00862975">
        <w:t>m “The Passionate Shepherd to H</w:t>
      </w:r>
      <w:r>
        <w:t>is Love,” Sir Walter Raleigh’s critical reply “The Nymph’s Reply to the Shepherd,” and William Carlos Williams’</w:t>
      </w:r>
      <w:r w:rsidR="00534891">
        <w:t>s</w:t>
      </w:r>
      <w:r>
        <w:t xml:space="preserve"> cont</w:t>
      </w:r>
      <w:r w:rsidR="00862975">
        <w:t>emporary contribution “Raleigh W</w:t>
      </w:r>
      <w:r>
        <w:t>as Right.” This unit introduces students to poets in conversation and encourages students to make connections across all three texts. Students consider the choices each author makes, with a focus on how each author shapes and refines central ideas shared in all three texts. As students read, discuss, and write about all three poems, they examine how poets structure a text, the effects of specific word choice on meaning and tone, and how point of view shapes content and style. Students learn to incorporate poetry specific vocabulary in their verbal and written responses.</w:t>
      </w:r>
    </w:p>
    <w:p w:rsidR="00B544FF" w:rsidRDefault="00B544FF" w:rsidP="00DD69ED">
      <w:r>
        <w:t xml:space="preserve">Students </w:t>
      </w:r>
      <w:r w:rsidR="00A8344F">
        <w:t>are</w:t>
      </w:r>
      <w:r>
        <w:t xml:space="preserve"> assessed formally </w:t>
      </w:r>
      <w:r w:rsidR="002D1835">
        <w:t>in the</w:t>
      </w:r>
      <w:r w:rsidR="00A8344F">
        <w:t xml:space="preserve"> E</w:t>
      </w:r>
      <w:r>
        <w:t>nd</w:t>
      </w:r>
      <w:r w:rsidR="00A8344F">
        <w:t>-</w:t>
      </w:r>
      <w:r>
        <w:t>of</w:t>
      </w:r>
      <w:r w:rsidR="00A8344F">
        <w:t>-U</w:t>
      </w:r>
      <w:r>
        <w:t>nit</w:t>
      </w:r>
      <w:r w:rsidR="00A8344F">
        <w:t xml:space="preserve"> Assessment</w:t>
      </w:r>
      <w:r>
        <w:t>. At the end of the unit, students craft a multi-paragraph response analyzing how Williams draws upon and transforms a central idea established by Marlowe and Raleigh (</w:t>
      </w:r>
      <w:r w:rsidR="002D1835">
        <w:t xml:space="preserve">RL.9-10.2, </w:t>
      </w:r>
      <w:r>
        <w:t>RL.9-10.9, W.9-10.2</w:t>
      </w:r>
      <w:r w:rsidR="00862975">
        <w:t>.d</w:t>
      </w:r>
      <w:r>
        <w:t>, W.9-10.9, SL.9-10.1)</w:t>
      </w:r>
      <w:r w:rsidR="00A8344F">
        <w:t>.</w:t>
      </w:r>
      <w:r>
        <w:t xml:space="preserve"> </w:t>
      </w:r>
    </w:p>
    <w:p w:rsidR="00131FC8" w:rsidRPr="004B6BC1" w:rsidRDefault="004B6BC1" w:rsidP="00DD69ED">
      <w:r w:rsidRPr="004B6BC1">
        <w:rPr>
          <w:b/>
        </w:rPr>
        <w:t>Note:</w:t>
      </w:r>
      <w:r w:rsidRPr="004B6BC1">
        <w:t xml:space="preserve"> This unit continues Accountable</w:t>
      </w:r>
      <w:r w:rsidR="00D663C2">
        <w:t xml:space="preserve"> Independent Reading (AIR). </w:t>
      </w:r>
      <w:bookmarkStart w:id="1" w:name="_GoBack"/>
      <w:bookmarkEnd w:id="1"/>
      <w:r w:rsidR="00D663C2">
        <w:t>See Prefatory Material for Grades 9–12 English Language Arts for more information about AIR.</w:t>
      </w:r>
    </w:p>
    <w:p w:rsidR="001F53B2" w:rsidRDefault="00B15AEC">
      <w:pPr>
        <w:pStyle w:val="Heading1"/>
      </w:pPr>
      <w:r>
        <w:lastRenderedPageBreak/>
        <w:t>Literacy Skills &amp; Habits</w:t>
      </w:r>
    </w:p>
    <w:p w:rsidR="00B544FF" w:rsidRDefault="00B544FF" w:rsidP="00B544FF">
      <w:pPr>
        <w:pStyle w:val="BulletedList"/>
      </w:pPr>
      <w:r>
        <w:t>Read closely for textual details</w:t>
      </w:r>
    </w:p>
    <w:p w:rsidR="00B544FF" w:rsidRDefault="00B544FF" w:rsidP="00B544FF">
      <w:pPr>
        <w:pStyle w:val="BulletedList"/>
      </w:pPr>
      <w:r>
        <w:t>Annotate texts to support comprehension and analysis</w:t>
      </w:r>
    </w:p>
    <w:p w:rsidR="00B544FF" w:rsidRDefault="00B544FF" w:rsidP="00B544FF">
      <w:pPr>
        <w:pStyle w:val="BulletedList"/>
      </w:pPr>
      <w:r>
        <w:t>Engage in productive</w:t>
      </w:r>
      <w:r w:rsidR="00A8344F">
        <w:t>,</w:t>
      </w:r>
      <w:r>
        <w:t xml:space="preserve"> evidence-based discussions about text</w:t>
      </w:r>
    </w:p>
    <w:p w:rsidR="00B544FF" w:rsidRDefault="00B544FF" w:rsidP="00B544FF">
      <w:pPr>
        <w:pStyle w:val="BulletedList"/>
      </w:pPr>
      <w:r>
        <w:t>Collect and organize evidence from texts to support analysis in writing</w:t>
      </w:r>
    </w:p>
    <w:p w:rsidR="00B544FF" w:rsidRDefault="00B544FF" w:rsidP="00B544FF">
      <w:pPr>
        <w:pStyle w:val="BulletedList"/>
      </w:pPr>
      <w:r>
        <w:t>Make claims about and across texts using specific textual evidence</w:t>
      </w:r>
    </w:p>
    <w:p w:rsidR="00B544FF" w:rsidRDefault="00B544FF" w:rsidP="00B544FF">
      <w:pPr>
        <w:pStyle w:val="BulletedList"/>
      </w:pPr>
      <w:r>
        <w:t>Develop and incorporate domain</w:t>
      </w:r>
      <w:r w:rsidR="00A8344F">
        <w:t>-</w:t>
      </w:r>
      <w:r>
        <w:t>specific vocabulary in written and verbal responses</w:t>
      </w:r>
    </w:p>
    <w:p w:rsidR="001F53B2" w:rsidRDefault="00B15AEC">
      <w:pPr>
        <w:pStyle w:val="Heading1"/>
      </w:pPr>
      <w:r>
        <w:t>Standards for This Unit</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407"/>
        <w:gridCol w:w="7953"/>
      </w:tblGrid>
      <w:tr w:rsidR="007333AA" w:rsidRPr="00FE5F2C">
        <w:tc>
          <w:tcPr>
            <w:tcW w:w="9360" w:type="dxa"/>
            <w:gridSpan w:val="2"/>
            <w:shd w:val="clear" w:color="auto" w:fill="5F497A" w:themeFill="accent4" w:themeFillShade="BF"/>
          </w:tcPr>
          <w:p w:rsidR="007333AA" w:rsidRPr="00FE5F2C" w:rsidRDefault="00B11DB4" w:rsidP="00531582">
            <w:pPr>
              <w:pStyle w:val="TableHeaders"/>
            </w:pPr>
            <w:r>
              <w:t>CCS Anchor Standards: Reading</w:t>
            </w:r>
          </w:p>
        </w:tc>
      </w:tr>
      <w:tr w:rsidR="00B11DB4" w:rsidRPr="00FE5F2C" w:rsidTr="00B11DB4">
        <w:tc>
          <w:tcPr>
            <w:tcW w:w="1407" w:type="dxa"/>
            <w:shd w:val="clear" w:color="auto" w:fill="auto"/>
          </w:tcPr>
          <w:p w:rsidR="00B11DB4" w:rsidRPr="0000376C" w:rsidRDefault="00B11DB4" w:rsidP="0000376C">
            <w:pPr>
              <w:pStyle w:val="TableText"/>
              <w:rPr>
                <w:b/>
              </w:rPr>
            </w:pPr>
            <w:r w:rsidRPr="0000376C">
              <w:rPr>
                <w:b/>
              </w:rPr>
              <w:t>CCRA.R.5</w:t>
            </w:r>
          </w:p>
        </w:tc>
        <w:tc>
          <w:tcPr>
            <w:tcW w:w="7953" w:type="dxa"/>
            <w:shd w:val="clear" w:color="auto" w:fill="auto"/>
          </w:tcPr>
          <w:p w:rsidR="00B11DB4" w:rsidRPr="0000376C" w:rsidRDefault="00B11DB4" w:rsidP="0000376C">
            <w:pPr>
              <w:pStyle w:val="TableText"/>
              <w:rPr>
                <w:b/>
              </w:rPr>
            </w:pPr>
            <w:r w:rsidRPr="0000376C">
              <w:rPr>
                <w:b/>
              </w:rPr>
              <w:t>Analyze the structure of texts, including how specific sentences, paragraphs, and larger portions, of the text (e.g., a section, chapter, scene, or stanza) relate to each other and the whole.</w:t>
            </w:r>
          </w:p>
        </w:tc>
      </w:tr>
      <w:tr w:rsidR="00B11DB4" w:rsidRPr="00FE5F2C">
        <w:tc>
          <w:tcPr>
            <w:tcW w:w="1407" w:type="dxa"/>
            <w:shd w:val="clear" w:color="auto" w:fill="auto"/>
          </w:tcPr>
          <w:p w:rsidR="00B11DB4" w:rsidRPr="0000376C" w:rsidRDefault="00B11DB4" w:rsidP="0000376C">
            <w:pPr>
              <w:pStyle w:val="TableText"/>
              <w:rPr>
                <w:b/>
              </w:rPr>
            </w:pPr>
            <w:r w:rsidRPr="0000376C">
              <w:rPr>
                <w:b/>
              </w:rPr>
              <w:t>CCRA.R.6</w:t>
            </w:r>
          </w:p>
        </w:tc>
        <w:tc>
          <w:tcPr>
            <w:tcW w:w="7953" w:type="dxa"/>
            <w:shd w:val="clear" w:color="auto" w:fill="auto"/>
          </w:tcPr>
          <w:p w:rsidR="00B11DB4" w:rsidRPr="0000376C" w:rsidRDefault="00B11DB4" w:rsidP="0000376C">
            <w:pPr>
              <w:pStyle w:val="TableText"/>
              <w:rPr>
                <w:b/>
              </w:rPr>
            </w:pPr>
            <w:r w:rsidRPr="0000376C">
              <w:rPr>
                <w:b/>
              </w:rPr>
              <w:t>Assess how point of view or purpose shapes the content and style of a text.</w:t>
            </w:r>
          </w:p>
        </w:tc>
      </w:tr>
      <w:tr w:rsidR="00B11DB4" w:rsidRPr="00FE5F2C">
        <w:tc>
          <w:tcPr>
            <w:tcW w:w="9360" w:type="dxa"/>
            <w:gridSpan w:val="2"/>
            <w:shd w:val="clear" w:color="auto" w:fill="5F497A" w:themeFill="accent4" w:themeFillShade="BF"/>
          </w:tcPr>
          <w:p w:rsidR="00B11DB4" w:rsidRPr="00FE5F2C" w:rsidRDefault="00B11DB4" w:rsidP="00531582">
            <w:pPr>
              <w:pStyle w:val="TableHeaders"/>
            </w:pPr>
            <w:r w:rsidRPr="00FE5F2C">
              <w:t>CCS Standards: Reading – Literature</w:t>
            </w:r>
          </w:p>
        </w:tc>
      </w:tr>
      <w:tr w:rsidR="007333AA" w:rsidRPr="007F5F49">
        <w:tc>
          <w:tcPr>
            <w:tcW w:w="1407" w:type="dxa"/>
            <w:shd w:val="clear" w:color="auto" w:fill="auto"/>
          </w:tcPr>
          <w:p w:rsidR="007333AA" w:rsidRPr="0000376C" w:rsidRDefault="007333AA" w:rsidP="0000376C">
            <w:pPr>
              <w:pStyle w:val="TableText"/>
              <w:rPr>
                <w:b/>
              </w:rPr>
            </w:pPr>
            <w:r w:rsidRPr="0000376C">
              <w:rPr>
                <w:b/>
              </w:rPr>
              <w:t>RL.9-10.1</w:t>
            </w:r>
          </w:p>
        </w:tc>
        <w:tc>
          <w:tcPr>
            <w:tcW w:w="7953" w:type="dxa"/>
            <w:shd w:val="clear" w:color="auto" w:fill="auto"/>
          </w:tcPr>
          <w:p w:rsidR="007333AA" w:rsidRPr="0000376C" w:rsidRDefault="007333AA" w:rsidP="0000376C">
            <w:pPr>
              <w:pStyle w:val="TableText"/>
              <w:rPr>
                <w:b/>
              </w:rPr>
            </w:pPr>
            <w:r w:rsidRPr="0000376C">
              <w:rPr>
                <w:b/>
              </w:rPr>
              <w:t>Cite strong and thorough textual evidence to support analysis of what the text says explicitly as well as inferences drawn from the text.</w:t>
            </w:r>
          </w:p>
        </w:tc>
      </w:tr>
      <w:tr w:rsidR="007333AA" w:rsidRPr="007F5F49">
        <w:tc>
          <w:tcPr>
            <w:tcW w:w="1407" w:type="dxa"/>
            <w:shd w:val="clear" w:color="auto" w:fill="auto"/>
          </w:tcPr>
          <w:p w:rsidR="007333AA" w:rsidRPr="0000376C" w:rsidRDefault="007333AA" w:rsidP="0000376C">
            <w:pPr>
              <w:pStyle w:val="TableText"/>
              <w:rPr>
                <w:b/>
              </w:rPr>
            </w:pPr>
            <w:r w:rsidRPr="0000376C">
              <w:rPr>
                <w:b/>
              </w:rPr>
              <w:t>RL.9-10.2</w:t>
            </w:r>
          </w:p>
        </w:tc>
        <w:tc>
          <w:tcPr>
            <w:tcW w:w="7953" w:type="dxa"/>
            <w:shd w:val="clear" w:color="auto" w:fill="auto"/>
          </w:tcPr>
          <w:p w:rsidR="007333AA" w:rsidRPr="0000376C" w:rsidRDefault="007333AA" w:rsidP="0000376C">
            <w:pPr>
              <w:pStyle w:val="TableText"/>
              <w:rPr>
                <w:b/>
              </w:rPr>
            </w:pPr>
            <w:r w:rsidRPr="0000376C">
              <w:rPr>
                <w:b/>
              </w:rPr>
              <w:t>Determine a theme or central idea of a text and analyze in detail its development over the course of the text, including how it emerges and is shaped and refined by specific details; provide an objective summary of the text.</w:t>
            </w:r>
          </w:p>
        </w:tc>
      </w:tr>
      <w:tr w:rsidR="007333AA" w:rsidRPr="007F5F49">
        <w:tc>
          <w:tcPr>
            <w:tcW w:w="1407" w:type="dxa"/>
            <w:tcBorders>
              <w:top w:val="single" w:sz="6" w:space="0" w:color="000000"/>
              <w:left w:val="single" w:sz="6" w:space="0" w:color="000000"/>
              <w:bottom w:val="single" w:sz="6" w:space="0" w:color="000000"/>
              <w:right w:val="single" w:sz="6" w:space="0" w:color="000000"/>
            </w:tcBorders>
            <w:shd w:val="clear" w:color="auto" w:fill="auto"/>
          </w:tcPr>
          <w:p w:rsidR="007333AA" w:rsidRPr="0000376C" w:rsidRDefault="007333AA" w:rsidP="0000376C">
            <w:pPr>
              <w:pStyle w:val="TableText"/>
              <w:rPr>
                <w:b/>
              </w:rPr>
            </w:pPr>
            <w:r w:rsidRPr="0000376C">
              <w:rPr>
                <w:b/>
              </w:rPr>
              <w:t>RL.9-10.4</w:t>
            </w:r>
          </w:p>
        </w:tc>
        <w:tc>
          <w:tcPr>
            <w:tcW w:w="7953" w:type="dxa"/>
            <w:tcBorders>
              <w:top w:val="single" w:sz="6" w:space="0" w:color="000000"/>
              <w:left w:val="single" w:sz="6" w:space="0" w:color="000000"/>
              <w:bottom w:val="single" w:sz="6" w:space="0" w:color="000000"/>
              <w:right w:val="single" w:sz="6" w:space="0" w:color="000000"/>
            </w:tcBorders>
            <w:shd w:val="clear" w:color="auto" w:fill="auto"/>
          </w:tcPr>
          <w:p w:rsidR="007333AA" w:rsidRPr="0000376C" w:rsidRDefault="007333AA" w:rsidP="0000376C">
            <w:pPr>
              <w:pStyle w:val="TableText"/>
              <w:rPr>
                <w:b/>
              </w:rPr>
            </w:pPr>
            <w:r w:rsidRPr="0000376C">
              <w:rPr>
                <w:b/>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EE5932" w:rsidRPr="00B544FF">
        <w:tc>
          <w:tcPr>
            <w:tcW w:w="1407" w:type="dxa"/>
            <w:tcBorders>
              <w:top w:val="single" w:sz="6" w:space="0" w:color="000000"/>
              <w:left w:val="single" w:sz="6" w:space="0" w:color="000000"/>
              <w:bottom w:val="single" w:sz="6" w:space="0" w:color="000000"/>
              <w:right w:val="single" w:sz="6" w:space="0" w:color="000000"/>
            </w:tcBorders>
            <w:shd w:val="clear" w:color="auto" w:fill="auto"/>
          </w:tcPr>
          <w:p w:rsidR="00EE5932" w:rsidRPr="0000376C" w:rsidRDefault="00EE5932" w:rsidP="0000376C">
            <w:pPr>
              <w:pStyle w:val="TableText"/>
              <w:rPr>
                <w:b/>
              </w:rPr>
            </w:pPr>
            <w:r w:rsidRPr="0000376C">
              <w:rPr>
                <w:b/>
              </w:rPr>
              <w:t>RL.9-10.9</w:t>
            </w:r>
          </w:p>
        </w:tc>
        <w:tc>
          <w:tcPr>
            <w:tcW w:w="7953" w:type="dxa"/>
            <w:tcBorders>
              <w:top w:val="single" w:sz="6" w:space="0" w:color="000000"/>
              <w:left w:val="single" w:sz="6" w:space="0" w:color="000000"/>
              <w:bottom w:val="single" w:sz="6" w:space="0" w:color="000000"/>
              <w:right w:val="single" w:sz="6" w:space="0" w:color="000000"/>
            </w:tcBorders>
            <w:shd w:val="clear" w:color="auto" w:fill="auto"/>
          </w:tcPr>
          <w:p w:rsidR="00EE5932" w:rsidRPr="0000376C" w:rsidRDefault="00EE5932" w:rsidP="0000376C">
            <w:pPr>
              <w:pStyle w:val="TableText"/>
              <w:rPr>
                <w:b/>
              </w:rPr>
            </w:pPr>
            <w:r w:rsidRPr="0000376C">
              <w:rPr>
                <w:b/>
              </w:rPr>
              <w:t>Analyze how an author draws on and transforms source material in a specific work (e.g., how Shakespeare treats a theme or topic from Ovid or the Bible or how a later author draws on a play by Shakespeare).</w:t>
            </w:r>
          </w:p>
        </w:tc>
      </w:tr>
      <w:tr w:rsidR="007333AA" w:rsidRPr="007F5F49">
        <w:tc>
          <w:tcPr>
            <w:tcW w:w="9360" w:type="dxa"/>
            <w:gridSpan w:val="2"/>
            <w:shd w:val="clear" w:color="auto" w:fill="5F497A" w:themeFill="accent4" w:themeFillShade="BF"/>
          </w:tcPr>
          <w:p w:rsidR="007333AA" w:rsidRPr="007F5F49" w:rsidRDefault="007333AA" w:rsidP="00584311">
            <w:pPr>
              <w:pStyle w:val="TableHeaders"/>
              <w:keepNext/>
            </w:pPr>
            <w:r w:rsidRPr="007F5F49">
              <w:t>CCS Standards: Writing</w:t>
            </w:r>
          </w:p>
        </w:tc>
      </w:tr>
      <w:tr w:rsidR="007333AA" w:rsidRPr="007F5F49">
        <w:tc>
          <w:tcPr>
            <w:tcW w:w="1407" w:type="dxa"/>
            <w:tcBorders>
              <w:top w:val="single" w:sz="6" w:space="0" w:color="000000"/>
              <w:left w:val="single" w:sz="6" w:space="0" w:color="000000"/>
              <w:bottom w:val="single" w:sz="6" w:space="0" w:color="000000"/>
              <w:right w:val="single" w:sz="6" w:space="0" w:color="000000"/>
            </w:tcBorders>
            <w:shd w:val="clear" w:color="auto" w:fill="auto"/>
          </w:tcPr>
          <w:p w:rsidR="007333AA" w:rsidRPr="007F5F49" w:rsidRDefault="00D04230" w:rsidP="00531582">
            <w:pPr>
              <w:rPr>
                <w:b/>
              </w:rPr>
            </w:pPr>
            <w:r w:rsidRPr="007F5F49">
              <w:rPr>
                <w:b/>
              </w:rPr>
              <w:t>W.9-10.2</w:t>
            </w:r>
            <w:r w:rsidR="00BD72CA">
              <w:rPr>
                <w:b/>
              </w:rPr>
              <w:t>.</w:t>
            </w:r>
            <w:r w:rsidR="00BD72CA">
              <w:t xml:space="preserve">b, </w:t>
            </w:r>
            <w:r w:rsidR="000C295B">
              <w:rPr>
                <w:b/>
              </w:rPr>
              <w:t>d</w:t>
            </w:r>
          </w:p>
        </w:tc>
        <w:tc>
          <w:tcPr>
            <w:tcW w:w="7953" w:type="dxa"/>
            <w:tcBorders>
              <w:top w:val="single" w:sz="6" w:space="0" w:color="000000"/>
              <w:left w:val="single" w:sz="6" w:space="0" w:color="000000"/>
              <w:bottom w:val="single" w:sz="6" w:space="0" w:color="000000"/>
              <w:right w:val="single" w:sz="6" w:space="0" w:color="000000"/>
            </w:tcBorders>
            <w:shd w:val="clear" w:color="auto" w:fill="auto"/>
          </w:tcPr>
          <w:p w:rsidR="007333AA" w:rsidRPr="0000376C" w:rsidRDefault="00D04230" w:rsidP="0000376C">
            <w:pPr>
              <w:pStyle w:val="TableText"/>
              <w:rPr>
                <w:b/>
              </w:rPr>
            </w:pPr>
            <w:r w:rsidRPr="0000376C">
              <w:rPr>
                <w:b/>
              </w:rPr>
              <w:t>Write informative/explanatory texts to examine and convey complex ideas, concepts, and information clearly and accurately through the effective selection, organization, and analysis of content.</w:t>
            </w:r>
          </w:p>
          <w:p w:rsidR="00BD72CA" w:rsidRPr="004143B6" w:rsidRDefault="00BD72CA" w:rsidP="0000376C">
            <w:pPr>
              <w:pStyle w:val="TableText"/>
              <w:rPr>
                <w:b/>
              </w:rPr>
            </w:pPr>
            <w:r w:rsidRPr="00DD69ED">
              <w:t xml:space="preserve">Develop the topic with well-chosen, relevant, and sufficient facts, extended </w:t>
            </w:r>
            <w:r w:rsidRPr="00DD69ED">
              <w:lastRenderedPageBreak/>
              <w:t>definitions, concrete details, quotations, or other information and examples appropriate to the audience’s knowledge of the topic.</w:t>
            </w:r>
          </w:p>
          <w:p w:rsidR="000C295B" w:rsidRPr="004143B6" w:rsidRDefault="000C295B" w:rsidP="0000376C">
            <w:pPr>
              <w:pStyle w:val="ListParagraph"/>
              <w:numPr>
                <w:ilvl w:val="0"/>
                <w:numId w:val="28"/>
              </w:numPr>
              <w:spacing w:before="40" w:after="40"/>
              <w:ind w:left="360"/>
              <w:rPr>
                <w:b/>
              </w:rPr>
            </w:pPr>
            <w:r w:rsidRPr="004143B6">
              <w:rPr>
                <w:b/>
              </w:rPr>
              <w:t>Use precise language and domain-specific vocabulary to manage the complexity of the topic.</w:t>
            </w:r>
          </w:p>
        </w:tc>
      </w:tr>
      <w:tr w:rsidR="00D04230" w:rsidRPr="007F5F49">
        <w:tc>
          <w:tcPr>
            <w:tcW w:w="1407" w:type="dxa"/>
            <w:tcBorders>
              <w:top w:val="single" w:sz="6" w:space="0" w:color="000000"/>
              <w:left w:val="single" w:sz="6" w:space="0" w:color="000000"/>
              <w:bottom w:val="single" w:sz="6" w:space="0" w:color="000000"/>
              <w:right w:val="single" w:sz="6" w:space="0" w:color="000000"/>
            </w:tcBorders>
            <w:shd w:val="clear" w:color="auto" w:fill="auto"/>
          </w:tcPr>
          <w:p w:rsidR="00D04230" w:rsidRPr="00C34D4B" w:rsidRDefault="00A407B4" w:rsidP="0000376C">
            <w:pPr>
              <w:pStyle w:val="TableText"/>
            </w:pPr>
            <w:r w:rsidRPr="00A407B4">
              <w:lastRenderedPageBreak/>
              <w:t>W.9-10.</w:t>
            </w:r>
            <w:r w:rsidR="00C34D4B">
              <w:t>9</w:t>
            </w:r>
          </w:p>
        </w:tc>
        <w:tc>
          <w:tcPr>
            <w:tcW w:w="7953" w:type="dxa"/>
            <w:tcBorders>
              <w:top w:val="single" w:sz="6" w:space="0" w:color="000000"/>
              <w:left w:val="single" w:sz="6" w:space="0" w:color="000000"/>
              <w:bottom w:val="single" w:sz="6" w:space="0" w:color="000000"/>
              <w:right w:val="single" w:sz="6" w:space="0" w:color="000000"/>
            </w:tcBorders>
            <w:shd w:val="clear" w:color="auto" w:fill="auto"/>
          </w:tcPr>
          <w:p w:rsidR="00D04230" w:rsidRPr="00C34D4B" w:rsidRDefault="00C34D4B" w:rsidP="0000376C">
            <w:pPr>
              <w:pStyle w:val="TableText"/>
            </w:pPr>
            <w:r>
              <w:t>Draw evidence from literary or informational texts to support analysis, reflection, and research.</w:t>
            </w:r>
          </w:p>
        </w:tc>
      </w:tr>
      <w:tr w:rsidR="007333AA" w:rsidRPr="007F5F49">
        <w:tc>
          <w:tcPr>
            <w:tcW w:w="9360" w:type="dxa"/>
            <w:gridSpan w:val="2"/>
            <w:shd w:val="clear" w:color="auto" w:fill="5F497A" w:themeFill="accent4" w:themeFillShade="BF"/>
          </w:tcPr>
          <w:p w:rsidR="007333AA" w:rsidRPr="007F5F49" w:rsidRDefault="007333AA" w:rsidP="00DD69ED">
            <w:pPr>
              <w:pStyle w:val="TableHeaders"/>
            </w:pPr>
            <w:r w:rsidRPr="007F5F49">
              <w:t>CCS Standards: Speaking &amp; Listening</w:t>
            </w:r>
          </w:p>
        </w:tc>
      </w:tr>
      <w:tr w:rsidR="007333AA" w:rsidRPr="004A3DC5">
        <w:tc>
          <w:tcPr>
            <w:tcW w:w="1407" w:type="dxa"/>
            <w:shd w:val="clear" w:color="auto" w:fill="auto"/>
          </w:tcPr>
          <w:p w:rsidR="007333AA" w:rsidRPr="004A3DC5" w:rsidRDefault="003530D5" w:rsidP="00531582">
            <w:r w:rsidRPr="004A3DC5">
              <w:t>SL.9-10.1</w:t>
            </w:r>
          </w:p>
        </w:tc>
        <w:tc>
          <w:tcPr>
            <w:tcW w:w="7953" w:type="dxa"/>
            <w:shd w:val="clear" w:color="auto" w:fill="auto"/>
          </w:tcPr>
          <w:p w:rsidR="00314174" w:rsidRDefault="003530D5" w:rsidP="003A6984">
            <w:r w:rsidRPr="004A3DC5">
              <w:t xml:space="preserve">Initiate and participate effectively in a range of collaborative discussions (one-on-one, in groups, and teacher-led) with diverse partners on </w:t>
            </w:r>
            <w:r w:rsidR="00A407B4" w:rsidRPr="00A407B4">
              <w:rPr>
                <w:i/>
              </w:rPr>
              <w:t>grades 9–10 topics, texts, and issues</w:t>
            </w:r>
            <w:r w:rsidRPr="004A3DC5">
              <w:t>, building on others’ ideas and expressing their own clearly and persuasively.</w:t>
            </w:r>
          </w:p>
        </w:tc>
      </w:tr>
      <w:tr w:rsidR="004A3DC5" w:rsidRPr="007F5F49">
        <w:tc>
          <w:tcPr>
            <w:tcW w:w="9360" w:type="dxa"/>
            <w:gridSpan w:val="2"/>
            <w:shd w:val="clear" w:color="auto" w:fill="5F497A" w:themeFill="accent4" w:themeFillShade="BF"/>
          </w:tcPr>
          <w:p w:rsidR="004A3DC5" w:rsidRPr="007F5F49" w:rsidRDefault="004A3DC5" w:rsidP="004A3DC5">
            <w:pPr>
              <w:pStyle w:val="TableHeaders"/>
            </w:pPr>
            <w:r w:rsidRPr="007F5F49">
              <w:t>CCS Standards: Language</w:t>
            </w:r>
          </w:p>
        </w:tc>
      </w:tr>
      <w:tr w:rsidR="004A3DC5" w:rsidRPr="007F5F49">
        <w:tc>
          <w:tcPr>
            <w:tcW w:w="1407" w:type="dxa"/>
            <w:shd w:val="clear" w:color="auto" w:fill="auto"/>
          </w:tcPr>
          <w:p w:rsidR="004A3DC5" w:rsidRDefault="004A3DC5" w:rsidP="004A3DC5">
            <w:pPr>
              <w:spacing w:after="0"/>
            </w:pPr>
            <w:r>
              <w:t>L.9-10.4.a</w:t>
            </w:r>
          </w:p>
        </w:tc>
        <w:tc>
          <w:tcPr>
            <w:tcW w:w="7953" w:type="dxa"/>
            <w:shd w:val="clear" w:color="auto" w:fill="auto"/>
          </w:tcPr>
          <w:p w:rsidR="00314174" w:rsidRDefault="00992B82" w:rsidP="0000376C">
            <w:pPr>
              <w:pStyle w:val="TableText"/>
            </w:pPr>
            <w:r w:rsidRPr="00992B82">
              <w:t xml:space="preserve">Determine or clarify the meaning of unknown and multiple-meaning words and phrases based on </w:t>
            </w:r>
            <w:r w:rsidR="00A407B4" w:rsidRPr="00A407B4">
              <w:rPr>
                <w:i/>
              </w:rPr>
              <w:t>grades 9–10 reading and content</w:t>
            </w:r>
            <w:r w:rsidRPr="00992B82">
              <w:t>, choosing flexibly from a range of strategies</w:t>
            </w:r>
            <w:r>
              <w:t>.</w:t>
            </w:r>
          </w:p>
          <w:p w:rsidR="00314174" w:rsidRDefault="004A3DC5" w:rsidP="0000376C">
            <w:pPr>
              <w:pStyle w:val="ListParagraph"/>
              <w:numPr>
                <w:ilvl w:val="0"/>
                <w:numId w:val="26"/>
              </w:numPr>
              <w:spacing w:before="40" w:after="40"/>
              <w:ind w:left="360"/>
            </w:pPr>
            <w:r>
              <w:t>Use context (e.g., the overall meaning of a sentence, paragraph, or text; a word’s position or function in a sentence) as a clue to the meaning of a word or phrase.</w:t>
            </w:r>
          </w:p>
        </w:tc>
      </w:tr>
      <w:tr w:rsidR="004A3DC5" w:rsidRPr="004A3DC5">
        <w:tc>
          <w:tcPr>
            <w:tcW w:w="1407" w:type="dxa"/>
            <w:shd w:val="clear" w:color="auto" w:fill="auto"/>
          </w:tcPr>
          <w:p w:rsidR="004A3DC5" w:rsidRPr="004A3DC5" w:rsidRDefault="004A3DC5" w:rsidP="0000376C">
            <w:pPr>
              <w:pStyle w:val="TableText"/>
            </w:pPr>
            <w:r w:rsidRPr="004A3DC5">
              <w:t>L.9-10.5</w:t>
            </w:r>
          </w:p>
        </w:tc>
        <w:tc>
          <w:tcPr>
            <w:tcW w:w="7953" w:type="dxa"/>
            <w:shd w:val="clear" w:color="auto" w:fill="auto"/>
          </w:tcPr>
          <w:p w:rsidR="004A3DC5" w:rsidRPr="004A3DC5" w:rsidRDefault="004A3DC5" w:rsidP="0000376C">
            <w:pPr>
              <w:pStyle w:val="TableText"/>
            </w:pPr>
            <w:r w:rsidRPr="004A3DC5">
              <w:t>Demonstrate understanding of figurative language, word relationships, and nuances in word meanings.</w:t>
            </w:r>
          </w:p>
        </w:tc>
      </w:tr>
    </w:tbl>
    <w:p w:rsidR="007F5F49" w:rsidRDefault="007F5F49" w:rsidP="007F5F49">
      <w:r>
        <w:rPr>
          <w:b/>
        </w:rPr>
        <w:t>Note:</w:t>
      </w:r>
      <w:r>
        <w:t xml:space="preserve"> Bold text indicates </w:t>
      </w:r>
      <w:r w:rsidR="00A8344F">
        <w:t xml:space="preserve">the </w:t>
      </w:r>
      <w:r>
        <w:t>targeted standards assessed in th</w:t>
      </w:r>
      <w:r w:rsidR="00A8344F">
        <w:t>is</w:t>
      </w:r>
      <w:r>
        <w:t xml:space="preserve"> unit.</w:t>
      </w:r>
    </w:p>
    <w:p w:rsidR="004143B6" w:rsidRDefault="004143B6">
      <w:pPr>
        <w:spacing w:before="0" w:after="160" w:line="259" w:lineRule="auto"/>
        <w:rPr>
          <w:rFonts w:asciiTheme="minorHAnsi" w:hAnsiTheme="minorHAnsi"/>
          <w:b/>
          <w:bCs/>
          <w:color w:val="365F91"/>
          <w:sz w:val="32"/>
          <w:szCs w:val="28"/>
        </w:rPr>
      </w:pPr>
      <w:r>
        <w:br w:type="page"/>
      </w:r>
    </w:p>
    <w:p w:rsidR="001F53B2" w:rsidRDefault="00B15AEC">
      <w:pPr>
        <w:pStyle w:val="Heading1"/>
      </w:pPr>
      <w:r>
        <w:lastRenderedPageBreak/>
        <w:t>Unit Assessments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813"/>
        <w:gridCol w:w="7547"/>
      </w:tblGrid>
      <w:tr w:rsidR="009C02A7">
        <w:tc>
          <w:tcPr>
            <w:tcW w:w="9360" w:type="dxa"/>
            <w:gridSpan w:val="2"/>
            <w:shd w:val="clear" w:color="auto" w:fill="5F497A"/>
            <w:tcMar>
              <w:top w:w="100" w:type="dxa"/>
              <w:left w:w="108" w:type="dxa"/>
              <w:bottom w:w="100" w:type="dxa"/>
              <w:right w:w="108" w:type="dxa"/>
            </w:tcMar>
          </w:tcPr>
          <w:p w:rsidR="009C02A7" w:rsidRDefault="009C02A7" w:rsidP="00DD69ED">
            <w:pPr>
              <w:pStyle w:val="TableHeaders"/>
            </w:pPr>
            <w:r>
              <w:t>Ongoing Assessment</w:t>
            </w:r>
          </w:p>
        </w:tc>
      </w:tr>
      <w:tr w:rsidR="001F53B2">
        <w:tc>
          <w:tcPr>
            <w:tcW w:w="1813" w:type="dxa"/>
            <w:tcMar>
              <w:top w:w="100" w:type="dxa"/>
              <w:left w:w="108" w:type="dxa"/>
              <w:bottom w:w="100" w:type="dxa"/>
              <w:right w:w="108" w:type="dxa"/>
            </w:tcMar>
          </w:tcPr>
          <w:p w:rsidR="001F53B2" w:rsidRPr="0000376C" w:rsidRDefault="00B15AEC" w:rsidP="0000376C">
            <w:pPr>
              <w:pStyle w:val="TableText"/>
              <w:rPr>
                <w:b/>
              </w:rPr>
            </w:pPr>
            <w:r w:rsidRPr="0000376C">
              <w:rPr>
                <w:b/>
              </w:rPr>
              <w:t>Standards Assessed</w:t>
            </w:r>
          </w:p>
        </w:tc>
        <w:tc>
          <w:tcPr>
            <w:tcW w:w="7547" w:type="dxa"/>
            <w:tcMar>
              <w:top w:w="100" w:type="dxa"/>
              <w:left w:w="108" w:type="dxa"/>
              <w:bottom w:w="100" w:type="dxa"/>
              <w:right w:w="108" w:type="dxa"/>
            </w:tcMar>
          </w:tcPr>
          <w:p w:rsidR="001F53B2" w:rsidRDefault="004A3DC5" w:rsidP="0000376C">
            <w:pPr>
              <w:pStyle w:val="TableText"/>
            </w:pPr>
            <w:r>
              <w:t xml:space="preserve">RL.9-10.1, RL.9-10.2, RL.9-10.4, RL.9-10.9, </w:t>
            </w:r>
            <w:r w:rsidR="00862975">
              <w:t>CCRA.R.5,</w:t>
            </w:r>
            <w:r>
              <w:t xml:space="preserve"> W.9-10.2</w:t>
            </w:r>
          </w:p>
        </w:tc>
      </w:tr>
      <w:tr w:rsidR="001F53B2">
        <w:tc>
          <w:tcPr>
            <w:tcW w:w="1813" w:type="dxa"/>
            <w:tcMar>
              <w:top w:w="100" w:type="dxa"/>
              <w:left w:w="108" w:type="dxa"/>
              <w:bottom w:w="100" w:type="dxa"/>
              <w:right w:w="108" w:type="dxa"/>
            </w:tcMar>
          </w:tcPr>
          <w:p w:rsidR="001F53B2" w:rsidRPr="0000376C" w:rsidRDefault="00B15AEC" w:rsidP="0000376C">
            <w:pPr>
              <w:pStyle w:val="TableText"/>
              <w:rPr>
                <w:b/>
              </w:rPr>
            </w:pPr>
            <w:r w:rsidRPr="0000376C">
              <w:rPr>
                <w:b/>
              </w:rPr>
              <w:t>Description of Assessment</w:t>
            </w:r>
          </w:p>
        </w:tc>
        <w:tc>
          <w:tcPr>
            <w:tcW w:w="7547" w:type="dxa"/>
            <w:tcMar>
              <w:top w:w="100" w:type="dxa"/>
              <w:left w:w="108" w:type="dxa"/>
              <w:bottom w:w="100" w:type="dxa"/>
              <w:right w:w="108" w:type="dxa"/>
            </w:tcMar>
          </w:tcPr>
          <w:p w:rsidR="001F53B2" w:rsidRDefault="004A3DC5" w:rsidP="0000376C">
            <w:pPr>
              <w:pStyle w:val="TableText"/>
            </w:pPr>
            <w:r>
              <w:t>Varies by lesson but may include responses to questions focused on structural choices, central idea development, and how authors draw upon and transform source material, through discussion, tools, and informal writing prompts.</w:t>
            </w:r>
          </w:p>
        </w:tc>
      </w:tr>
    </w:tbl>
    <w:p w:rsidR="001F53B2" w:rsidRPr="004B6BC1" w:rsidRDefault="001F53B2" w:rsidP="004B6BC1"/>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813"/>
        <w:gridCol w:w="7547"/>
      </w:tblGrid>
      <w:tr w:rsidR="009C02A7">
        <w:tc>
          <w:tcPr>
            <w:tcW w:w="9360" w:type="dxa"/>
            <w:gridSpan w:val="2"/>
            <w:shd w:val="clear" w:color="auto" w:fill="5F497A"/>
            <w:tcMar>
              <w:top w:w="100" w:type="dxa"/>
              <w:left w:w="108" w:type="dxa"/>
              <w:bottom w:w="100" w:type="dxa"/>
              <w:right w:w="108" w:type="dxa"/>
            </w:tcMar>
          </w:tcPr>
          <w:p w:rsidR="009C02A7" w:rsidRDefault="009C02A7" w:rsidP="00584311">
            <w:pPr>
              <w:pStyle w:val="TableHeaders"/>
            </w:pPr>
            <w:r>
              <w:t>End-of-Unit Assessment</w:t>
            </w:r>
          </w:p>
        </w:tc>
      </w:tr>
      <w:tr w:rsidR="001F53B2">
        <w:tc>
          <w:tcPr>
            <w:tcW w:w="1813" w:type="dxa"/>
            <w:tcMar>
              <w:top w:w="100" w:type="dxa"/>
              <w:left w:w="108" w:type="dxa"/>
              <w:bottom w:w="100" w:type="dxa"/>
              <w:right w:w="108" w:type="dxa"/>
            </w:tcMar>
          </w:tcPr>
          <w:p w:rsidR="001F53B2" w:rsidRPr="0000376C" w:rsidRDefault="00B15AEC" w:rsidP="0000376C">
            <w:pPr>
              <w:pStyle w:val="TableText"/>
              <w:rPr>
                <w:b/>
              </w:rPr>
            </w:pPr>
            <w:r w:rsidRPr="0000376C">
              <w:rPr>
                <w:b/>
              </w:rPr>
              <w:t>Standards Assessed</w:t>
            </w:r>
          </w:p>
        </w:tc>
        <w:tc>
          <w:tcPr>
            <w:tcW w:w="7547" w:type="dxa"/>
            <w:tcMar>
              <w:top w:w="100" w:type="dxa"/>
              <w:left w:w="108" w:type="dxa"/>
              <w:bottom w:w="100" w:type="dxa"/>
              <w:right w:w="108" w:type="dxa"/>
            </w:tcMar>
          </w:tcPr>
          <w:p w:rsidR="001F53B2" w:rsidRDefault="00862975" w:rsidP="0000376C">
            <w:pPr>
              <w:pStyle w:val="TableText"/>
            </w:pPr>
            <w:r>
              <w:t xml:space="preserve">RL.9-10.9, </w:t>
            </w:r>
            <w:r w:rsidR="004A3DC5">
              <w:t>W.9-10.2</w:t>
            </w:r>
            <w:r w:rsidR="00AE74FF">
              <w:t>.</w:t>
            </w:r>
            <w:r w:rsidR="004A3DC5">
              <w:t>d</w:t>
            </w:r>
          </w:p>
        </w:tc>
      </w:tr>
      <w:tr w:rsidR="001F53B2">
        <w:trPr>
          <w:trHeight w:val="740"/>
        </w:trPr>
        <w:tc>
          <w:tcPr>
            <w:tcW w:w="1813" w:type="dxa"/>
            <w:tcMar>
              <w:top w:w="100" w:type="dxa"/>
              <w:left w:w="108" w:type="dxa"/>
              <w:bottom w:w="100" w:type="dxa"/>
              <w:right w:w="108" w:type="dxa"/>
            </w:tcMar>
          </w:tcPr>
          <w:p w:rsidR="001F53B2" w:rsidRPr="0000376C" w:rsidRDefault="00B15AEC" w:rsidP="0000376C">
            <w:pPr>
              <w:pStyle w:val="TableText"/>
              <w:rPr>
                <w:b/>
              </w:rPr>
            </w:pPr>
            <w:r w:rsidRPr="0000376C">
              <w:rPr>
                <w:b/>
              </w:rPr>
              <w:t>Description of Assessment</w:t>
            </w:r>
          </w:p>
        </w:tc>
        <w:tc>
          <w:tcPr>
            <w:tcW w:w="7547" w:type="dxa"/>
            <w:tcMar>
              <w:top w:w="100" w:type="dxa"/>
              <w:left w:w="108" w:type="dxa"/>
              <w:bottom w:w="100" w:type="dxa"/>
              <w:right w:w="108" w:type="dxa"/>
            </w:tcMar>
          </w:tcPr>
          <w:p w:rsidR="001F53B2" w:rsidRDefault="004A3DC5" w:rsidP="0000376C">
            <w:pPr>
              <w:pStyle w:val="TableText"/>
            </w:pPr>
            <w:r>
              <w:t>Students use the skills and habits they have been building throughout the unit to craft a multi</w:t>
            </w:r>
            <w:r w:rsidR="00AE74FF">
              <w:t>-</w:t>
            </w:r>
            <w:r>
              <w:t xml:space="preserve">paragraph response to the </w:t>
            </w:r>
            <w:r w:rsidR="00AE74FF">
              <w:t>E</w:t>
            </w:r>
            <w:r>
              <w:t>nd</w:t>
            </w:r>
            <w:r w:rsidR="00AE74FF">
              <w:t>-</w:t>
            </w:r>
            <w:r>
              <w:t>of</w:t>
            </w:r>
            <w:r w:rsidR="00AE74FF">
              <w:t>-U</w:t>
            </w:r>
            <w:r>
              <w:t xml:space="preserve">nit </w:t>
            </w:r>
            <w:r w:rsidR="00AE74FF">
              <w:t>A</w:t>
            </w:r>
            <w:r>
              <w:t>ssessment prompt: How does Williams draw upon and transform a central idea established by Marlowe and Raleigh? Students cite evidence from each of the three texts in this unit to support their response to this assessment.</w:t>
            </w:r>
          </w:p>
        </w:tc>
      </w:tr>
    </w:tbl>
    <w:p w:rsidR="001F53B2" w:rsidRDefault="00B15AEC">
      <w:pPr>
        <w:pStyle w:val="Heading1"/>
      </w:pPr>
      <w:r>
        <w:t>Unit-at-a-Glance Calendar</w:t>
      </w:r>
    </w:p>
    <w:tbl>
      <w:tblPr>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92"/>
        <w:gridCol w:w="2309"/>
        <w:gridCol w:w="6249"/>
      </w:tblGrid>
      <w:tr w:rsidR="001F53B2">
        <w:trPr>
          <w:tblHeader/>
        </w:trPr>
        <w:tc>
          <w:tcPr>
            <w:tcW w:w="892" w:type="dxa"/>
            <w:shd w:val="clear" w:color="auto" w:fill="5F497A"/>
            <w:tcMar>
              <w:top w:w="100" w:type="dxa"/>
              <w:left w:w="115" w:type="dxa"/>
              <w:bottom w:w="100" w:type="dxa"/>
              <w:right w:w="115" w:type="dxa"/>
            </w:tcMar>
            <w:vAlign w:val="center"/>
          </w:tcPr>
          <w:p w:rsidR="001F53B2" w:rsidRPr="006F61C4" w:rsidRDefault="00B15AEC" w:rsidP="00584311">
            <w:pPr>
              <w:pStyle w:val="TableHeaders"/>
            </w:pPr>
            <w:r w:rsidRPr="006F61C4">
              <w:t>Lesson</w:t>
            </w:r>
          </w:p>
        </w:tc>
        <w:tc>
          <w:tcPr>
            <w:tcW w:w="2309" w:type="dxa"/>
            <w:shd w:val="clear" w:color="auto" w:fill="5F497A"/>
            <w:tcMar>
              <w:top w:w="100" w:type="dxa"/>
              <w:left w:w="115" w:type="dxa"/>
              <w:bottom w:w="100" w:type="dxa"/>
              <w:right w:w="115" w:type="dxa"/>
            </w:tcMar>
            <w:vAlign w:val="center"/>
          </w:tcPr>
          <w:p w:rsidR="001F53B2" w:rsidRPr="006F61C4" w:rsidRDefault="00B15AEC" w:rsidP="00584311">
            <w:pPr>
              <w:pStyle w:val="TableHeaders"/>
            </w:pPr>
            <w:r w:rsidRPr="006F61C4">
              <w:t>Text</w:t>
            </w:r>
          </w:p>
        </w:tc>
        <w:tc>
          <w:tcPr>
            <w:tcW w:w="6249" w:type="dxa"/>
            <w:shd w:val="clear" w:color="auto" w:fill="5F497A"/>
            <w:tcMar>
              <w:top w:w="100" w:type="dxa"/>
              <w:left w:w="115" w:type="dxa"/>
              <w:bottom w:w="100" w:type="dxa"/>
              <w:right w:w="115" w:type="dxa"/>
            </w:tcMar>
            <w:vAlign w:val="center"/>
          </w:tcPr>
          <w:p w:rsidR="001F53B2" w:rsidRPr="006F61C4" w:rsidRDefault="00B15AEC" w:rsidP="00584311">
            <w:pPr>
              <w:pStyle w:val="TableHeaders"/>
            </w:pPr>
            <w:r w:rsidRPr="006F61C4">
              <w:t>Learning Outcomes/Goals</w:t>
            </w:r>
          </w:p>
        </w:tc>
      </w:tr>
      <w:tr w:rsidR="001F53B2">
        <w:tc>
          <w:tcPr>
            <w:tcW w:w="892" w:type="dxa"/>
            <w:shd w:val="clear" w:color="auto" w:fill="FFFFFF"/>
            <w:tcMar>
              <w:top w:w="100" w:type="dxa"/>
              <w:left w:w="115" w:type="dxa"/>
              <w:bottom w:w="100" w:type="dxa"/>
              <w:right w:w="115" w:type="dxa"/>
            </w:tcMar>
          </w:tcPr>
          <w:p w:rsidR="001F53B2" w:rsidRDefault="00B15AEC" w:rsidP="0000376C">
            <w:pPr>
              <w:pStyle w:val="TableText"/>
            </w:pPr>
            <w:r>
              <w:t>1</w:t>
            </w:r>
          </w:p>
        </w:tc>
        <w:tc>
          <w:tcPr>
            <w:tcW w:w="2309" w:type="dxa"/>
            <w:shd w:val="clear" w:color="auto" w:fill="FFFFFF"/>
            <w:tcMar>
              <w:top w:w="100" w:type="dxa"/>
              <w:left w:w="115" w:type="dxa"/>
              <w:bottom w:w="100" w:type="dxa"/>
              <w:right w:w="115" w:type="dxa"/>
            </w:tcMar>
          </w:tcPr>
          <w:p w:rsidR="001F53B2" w:rsidRDefault="004A3DC5" w:rsidP="0000376C">
            <w:pPr>
              <w:pStyle w:val="TableText"/>
            </w:pPr>
            <w:r>
              <w:t>“The Passionate Shepherd” (stanzas</w:t>
            </w:r>
            <w:r w:rsidR="00B11DB4">
              <w:t xml:space="preserve"> 1–2</w:t>
            </w:r>
            <w:r>
              <w:t>)</w:t>
            </w:r>
          </w:p>
        </w:tc>
        <w:tc>
          <w:tcPr>
            <w:tcW w:w="6249" w:type="dxa"/>
            <w:shd w:val="clear" w:color="auto" w:fill="FFFFFF"/>
            <w:tcMar>
              <w:top w:w="100" w:type="dxa"/>
              <w:left w:w="115" w:type="dxa"/>
              <w:bottom w:w="100" w:type="dxa"/>
              <w:right w:w="115" w:type="dxa"/>
            </w:tcMar>
          </w:tcPr>
          <w:p w:rsidR="001F53B2" w:rsidRDefault="004A3DC5" w:rsidP="0000376C">
            <w:pPr>
              <w:pStyle w:val="TableText"/>
            </w:pPr>
            <w:r>
              <w:t xml:space="preserve">Students begin their exploration of Christopher Marlowe’s iconic pastoral poem “The Passionate Shepherd to </w:t>
            </w:r>
            <w:r w:rsidR="00862975">
              <w:t>H</w:t>
            </w:r>
            <w:r>
              <w:t xml:space="preserve">is Love,” in which a Shepherd invites his love to come live with him in the bucolic countryside. Because this is the first lesson of the module, students </w:t>
            </w:r>
            <w:r w:rsidR="00A8344F">
              <w:t xml:space="preserve">receive an introduction </w:t>
            </w:r>
            <w:r>
              <w:t>to the skills and protocols that</w:t>
            </w:r>
            <w:r w:rsidR="00A8344F">
              <w:t xml:space="preserve"> they</w:t>
            </w:r>
            <w:r>
              <w:t xml:space="preserve"> </w:t>
            </w:r>
            <w:r w:rsidR="00A8344F">
              <w:t xml:space="preserve">establish </w:t>
            </w:r>
            <w:r>
              <w:t>throughout the module, including A</w:t>
            </w:r>
            <w:r w:rsidR="008C03A0">
              <w:t xml:space="preserve">ccountable </w:t>
            </w:r>
            <w:r>
              <w:t>I</w:t>
            </w:r>
            <w:r w:rsidR="008C03A0">
              <w:t xml:space="preserve">ndependent </w:t>
            </w:r>
            <w:r>
              <w:t>R</w:t>
            </w:r>
            <w:r w:rsidR="008C03A0">
              <w:t>eading</w:t>
            </w:r>
            <w:r>
              <w:t xml:space="preserve"> and annotation.</w:t>
            </w:r>
          </w:p>
        </w:tc>
      </w:tr>
      <w:tr w:rsidR="001F53B2">
        <w:tc>
          <w:tcPr>
            <w:tcW w:w="892" w:type="dxa"/>
            <w:shd w:val="clear" w:color="auto" w:fill="FFFFFF"/>
            <w:tcMar>
              <w:top w:w="100" w:type="dxa"/>
              <w:left w:w="115" w:type="dxa"/>
              <w:bottom w:w="100" w:type="dxa"/>
              <w:right w:w="115" w:type="dxa"/>
            </w:tcMar>
          </w:tcPr>
          <w:p w:rsidR="001F53B2" w:rsidRDefault="00B15AEC" w:rsidP="0000376C">
            <w:pPr>
              <w:pStyle w:val="TableText"/>
            </w:pPr>
            <w:r>
              <w:t>2</w:t>
            </w:r>
          </w:p>
        </w:tc>
        <w:tc>
          <w:tcPr>
            <w:tcW w:w="2309" w:type="dxa"/>
            <w:shd w:val="clear" w:color="auto" w:fill="FFFFFF"/>
            <w:tcMar>
              <w:top w:w="100" w:type="dxa"/>
              <w:left w:w="115" w:type="dxa"/>
              <w:bottom w:w="100" w:type="dxa"/>
              <w:right w:w="115" w:type="dxa"/>
            </w:tcMar>
          </w:tcPr>
          <w:p w:rsidR="001F53B2" w:rsidRDefault="004A3DC5" w:rsidP="0000376C">
            <w:pPr>
              <w:pStyle w:val="TableText"/>
            </w:pPr>
            <w:r>
              <w:t>“The Passionate Shepherd” (stanzas</w:t>
            </w:r>
            <w:r w:rsidR="00BD72CA">
              <w:t xml:space="preserve"> 3–</w:t>
            </w:r>
            <w:r w:rsidR="00BD72CA">
              <w:lastRenderedPageBreak/>
              <w:t>6</w:t>
            </w:r>
            <w:r>
              <w:t>)</w:t>
            </w:r>
          </w:p>
        </w:tc>
        <w:tc>
          <w:tcPr>
            <w:tcW w:w="6249" w:type="dxa"/>
            <w:shd w:val="clear" w:color="auto" w:fill="FFFFFF"/>
            <w:tcMar>
              <w:top w:w="100" w:type="dxa"/>
              <w:left w:w="115" w:type="dxa"/>
              <w:bottom w:w="100" w:type="dxa"/>
              <w:right w:w="115" w:type="dxa"/>
            </w:tcMar>
          </w:tcPr>
          <w:p w:rsidR="001F53B2" w:rsidRDefault="004A3DC5" w:rsidP="0000376C">
            <w:pPr>
              <w:pStyle w:val="TableText"/>
            </w:pPr>
            <w:r>
              <w:lastRenderedPageBreak/>
              <w:t xml:space="preserve">Students engage in a collaborative analysis of the speaker’s promises, with a focus on Marlowe’s pastoral imagery and the </w:t>
            </w:r>
            <w:r>
              <w:lastRenderedPageBreak/>
              <w:t>cumulative impact of specific word choices on meaning and tone. Students establish a foundational understanding of the conventions of pastoral poetry, as well as practice their annotation skills.</w:t>
            </w:r>
          </w:p>
        </w:tc>
      </w:tr>
      <w:tr w:rsidR="001F53B2">
        <w:tc>
          <w:tcPr>
            <w:tcW w:w="892" w:type="dxa"/>
            <w:shd w:val="clear" w:color="auto" w:fill="FFFFFF"/>
            <w:tcMar>
              <w:top w:w="100" w:type="dxa"/>
              <w:left w:w="115" w:type="dxa"/>
              <w:bottom w:w="100" w:type="dxa"/>
              <w:right w:w="115" w:type="dxa"/>
            </w:tcMar>
          </w:tcPr>
          <w:p w:rsidR="001F53B2" w:rsidRDefault="00B15AEC" w:rsidP="0000376C">
            <w:pPr>
              <w:pStyle w:val="TableText"/>
            </w:pPr>
            <w:r>
              <w:lastRenderedPageBreak/>
              <w:t>3</w:t>
            </w:r>
          </w:p>
        </w:tc>
        <w:tc>
          <w:tcPr>
            <w:tcW w:w="2309" w:type="dxa"/>
            <w:shd w:val="clear" w:color="auto" w:fill="FFFFFF"/>
            <w:tcMar>
              <w:top w:w="100" w:type="dxa"/>
              <w:left w:w="115" w:type="dxa"/>
              <w:bottom w:w="100" w:type="dxa"/>
              <w:right w:w="115" w:type="dxa"/>
            </w:tcMar>
          </w:tcPr>
          <w:p w:rsidR="001F53B2" w:rsidRDefault="004A3DC5" w:rsidP="0000376C">
            <w:pPr>
              <w:pStyle w:val="TableText"/>
            </w:pPr>
            <w:r>
              <w:t>“The Nymph’s Reply” (full text)</w:t>
            </w:r>
          </w:p>
        </w:tc>
        <w:tc>
          <w:tcPr>
            <w:tcW w:w="6249" w:type="dxa"/>
            <w:shd w:val="clear" w:color="auto" w:fill="FFFFFF"/>
            <w:tcMar>
              <w:top w:w="100" w:type="dxa"/>
              <w:left w:w="115" w:type="dxa"/>
              <w:bottom w:w="100" w:type="dxa"/>
              <w:right w:w="115" w:type="dxa"/>
            </w:tcMar>
          </w:tcPr>
          <w:p w:rsidR="001F53B2" w:rsidRDefault="004A3DC5" w:rsidP="0000376C">
            <w:pPr>
              <w:pStyle w:val="TableText"/>
            </w:pPr>
            <w:r>
              <w:t>Students explore the development of central ideas in Sir Walter Raleigh’s “The Nymph’s Reply to the Shepherd.” Questions focus on helping students understand the parallels between Marlowe</w:t>
            </w:r>
            <w:r w:rsidR="00A8344F">
              <w:t>’s</w:t>
            </w:r>
            <w:r>
              <w:t xml:space="preserve"> and Raleigh's poems, without yet explicitly addressing them. Students </w:t>
            </w:r>
            <w:r w:rsidR="00A8344F">
              <w:t>are</w:t>
            </w:r>
            <w:r>
              <w:t xml:space="preserve"> introduced to and practice the norms and protocols of collaborative discussion using the Speaking and Listening Rubric.</w:t>
            </w:r>
          </w:p>
        </w:tc>
      </w:tr>
      <w:tr w:rsidR="001F53B2">
        <w:tc>
          <w:tcPr>
            <w:tcW w:w="892" w:type="dxa"/>
            <w:shd w:val="clear" w:color="auto" w:fill="FFFFFF"/>
            <w:tcMar>
              <w:top w:w="100" w:type="dxa"/>
              <w:left w:w="115" w:type="dxa"/>
              <w:bottom w:w="100" w:type="dxa"/>
              <w:right w:w="115" w:type="dxa"/>
            </w:tcMar>
          </w:tcPr>
          <w:p w:rsidR="001F53B2" w:rsidRDefault="00B15AEC" w:rsidP="0000376C">
            <w:pPr>
              <w:pStyle w:val="TableText"/>
            </w:pPr>
            <w:r>
              <w:t>4</w:t>
            </w:r>
          </w:p>
        </w:tc>
        <w:tc>
          <w:tcPr>
            <w:tcW w:w="2309" w:type="dxa"/>
            <w:shd w:val="clear" w:color="auto" w:fill="FFFFFF"/>
            <w:tcMar>
              <w:top w:w="100" w:type="dxa"/>
              <w:left w:w="115" w:type="dxa"/>
              <w:bottom w:w="100" w:type="dxa"/>
              <w:right w:w="115" w:type="dxa"/>
            </w:tcMar>
          </w:tcPr>
          <w:p w:rsidR="001F53B2" w:rsidRDefault="004A3DC5" w:rsidP="0000376C">
            <w:pPr>
              <w:pStyle w:val="TableText"/>
            </w:pPr>
            <w:r>
              <w:t>“The Passionate Shepherd” and “The Nymph’s Reply” (full texts</w:t>
            </w:r>
            <w:r w:rsidR="006D3B98">
              <w:t>)</w:t>
            </w:r>
          </w:p>
        </w:tc>
        <w:tc>
          <w:tcPr>
            <w:tcW w:w="6249" w:type="dxa"/>
            <w:shd w:val="clear" w:color="auto" w:fill="FFFFFF"/>
            <w:tcMar>
              <w:top w:w="100" w:type="dxa"/>
              <w:left w:w="115" w:type="dxa"/>
              <w:bottom w:w="100" w:type="dxa"/>
              <w:right w:w="115" w:type="dxa"/>
            </w:tcMar>
          </w:tcPr>
          <w:p w:rsidR="001F53B2" w:rsidRDefault="004A3DC5" w:rsidP="0000376C">
            <w:pPr>
              <w:pStyle w:val="TableText"/>
            </w:pPr>
            <w:r>
              <w:t>Students explore how Raleigh draws upon and transforms Marlowe’s poem through explicit comparison of the two texts. Students</w:t>
            </w:r>
            <w:r w:rsidR="00A8344F">
              <w:t>’</w:t>
            </w:r>
            <w:r>
              <w:t xml:space="preserve"> analysis focus</w:t>
            </w:r>
            <w:r w:rsidR="00A8344F">
              <w:t>es</w:t>
            </w:r>
            <w:r>
              <w:t xml:space="preserve"> on structural choices, to develop an essential understanding of the conversant central ideas of these two poems. Students continue to build skills around making intertextual connections in preparation for the </w:t>
            </w:r>
            <w:r w:rsidR="00A8344F">
              <w:t>E</w:t>
            </w:r>
            <w:r>
              <w:t>nd</w:t>
            </w:r>
            <w:r w:rsidR="00A8344F">
              <w:t>-</w:t>
            </w:r>
            <w:r>
              <w:t>of</w:t>
            </w:r>
            <w:r w:rsidR="00A8344F">
              <w:t>-U</w:t>
            </w:r>
            <w:r>
              <w:t xml:space="preserve">nit </w:t>
            </w:r>
            <w:r w:rsidR="00A8344F">
              <w:t>A</w:t>
            </w:r>
            <w:r>
              <w:t>ssessment.</w:t>
            </w:r>
          </w:p>
        </w:tc>
      </w:tr>
      <w:tr w:rsidR="001F53B2">
        <w:tc>
          <w:tcPr>
            <w:tcW w:w="892" w:type="dxa"/>
            <w:shd w:val="clear" w:color="auto" w:fill="FFFFFF"/>
            <w:tcMar>
              <w:top w:w="100" w:type="dxa"/>
              <w:left w:w="115" w:type="dxa"/>
              <w:bottom w:w="100" w:type="dxa"/>
              <w:right w:w="115" w:type="dxa"/>
            </w:tcMar>
          </w:tcPr>
          <w:p w:rsidR="001F53B2" w:rsidRPr="0000376C" w:rsidRDefault="00B15AEC" w:rsidP="0000376C">
            <w:pPr>
              <w:pStyle w:val="TableText"/>
            </w:pPr>
            <w:r w:rsidRPr="0000376C">
              <w:t>5</w:t>
            </w:r>
          </w:p>
        </w:tc>
        <w:tc>
          <w:tcPr>
            <w:tcW w:w="2309" w:type="dxa"/>
            <w:shd w:val="clear" w:color="auto" w:fill="FFFFFF"/>
            <w:tcMar>
              <w:top w:w="100" w:type="dxa"/>
              <w:left w:w="115" w:type="dxa"/>
              <w:bottom w:w="100" w:type="dxa"/>
              <w:right w:w="115" w:type="dxa"/>
            </w:tcMar>
          </w:tcPr>
          <w:p w:rsidR="001F53B2" w:rsidRPr="0000376C" w:rsidRDefault="004A3DC5" w:rsidP="0000376C">
            <w:pPr>
              <w:pStyle w:val="TableText"/>
            </w:pPr>
            <w:r w:rsidRPr="0000376C">
              <w:t xml:space="preserve">“Raleigh </w:t>
            </w:r>
            <w:r w:rsidR="00F73039" w:rsidRPr="0000376C">
              <w:t xml:space="preserve">Was </w:t>
            </w:r>
            <w:r w:rsidRPr="0000376C">
              <w:t>Right” (full text)</w:t>
            </w:r>
          </w:p>
        </w:tc>
        <w:tc>
          <w:tcPr>
            <w:tcW w:w="6249" w:type="dxa"/>
            <w:shd w:val="clear" w:color="auto" w:fill="FFFFFF"/>
            <w:tcMar>
              <w:top w:w="100" w:type="dxa"/>
              <w:left w:w="115" w:type="dxa"/>
              <w:bottom w:w="100" w:type="dxa"/>
              <w:right w:w="115" w:type="dxa"/>
            </w:tcMar>
          </w:tcPr>
          <w:p w:rsidR="001F53B2" w:rsidRPr="0000376C" w:rsidRDefault="0045767E" w:rsidP="0000376C">
            <w:pPr>
              <w:pStyle w:val="TableText"/>
            </w:pPr>
            <w:r w:rsidRPr="0000376C">
              <w:rPr>
                <w:highlight w:val="white"/>
              </w:rPr>
              <w:t>Students analyze William Carlos Williams’</w:t>
            </w:r>
            <w:r w:rsidR="00A8344F" w:rsidRPr="0000376C">
              <w:rPr>
                <w:highlight w:val="white"/>
              </w:rPr>
              <w:t>s</w:t>
            </w:r>
            <w:r w:rsidRPr="0000376C">
              <w:rPr>
                <w:highlight w:val="white"/>
              </w:rPr>
              <w:t xml:space="preserve"> poem “Raleigh Was Right” and explore how this contemporary voice transforms the conversation begun by Marlowe and Raleigh. Students establish a framework to scaffold to an exploration of </w:t>
            </w:r>
            <w:r w:rsidRPr="0000376C">
              <w:t>intertextuality between Marlowe, Raleigh</w:t>
            </w:r>
            <w:r w:rsidR="00A8344F" w:rsidRPr="0000376C">
              <w:t>,</w:t>
            </w:r>
            <w:r w:rsidRPr="0000376C">
              <w:t xml:space="preserve"> and Williams in the </w:t>
            </w:r>
            <w:r w:rsidR="00A8344F" w:rsidRPr="0000376C">
              <w:t>E</w:t>
            </w:r>
            <w:r w:rsidRPr="0000376C">
              <w:t>nd</w:t>
            </w:r>
            <w:r w:rsidR="00A8344F" w:rsidRPr="0000376C">
              <w:t>-</w:t>
            </w:r>
            <w:r w:rsidRPr="0000376C">
              <w:t>of</w:t>
            </w:r>
            <w:r w:rsidR="00A8344F" w:rsidRPr="0000376C">
              <w:t>-U</w:t>
            </w:r>
            <w:r w:rsidRPr="0000376C">
              <w:t xml:space="preserve">nit </w:t>
            </w:r>
            <w:r w:rsidR="00A8344F" w:rsidRPr="0000376C">
              <w:t>A</w:t>
            </w:r>
            <w:r w:rsidRPr="0000376C">
              <w:t>ssessment. Students reflect on their speaking and listening skills using the Speaking and Listening Rubric.</w:t>
            </w:r>
          </w:p>
        </w:tc>
      </w:tr>
      <w:tr w:rsidR="0045767E">
        <w:tc>
          <w:tcPr>
            <w:tcW w:w="892" w:type="dxa"/>
            <w:shd w:val="clear" w:color="auto" w:fill="FFFFFF"/>
            <w:tcMar>
              <w:top w:w="100" w:type="dxa"/>
              <w:left w:w="115" w:type="dxa"/>
              <w:bottom w:w="100" w:type="dxa"/>
              <w:right w:w="115" w:type="dxa"/>
            </w:tcMar>
          </w:tcPr>
          <w:p w:rsidR="0045767E" w:rsidRPr="0000376C" w:rsidRDefault="0045767E" w:rsidP="0000376C">
            <w:pPr>
              <w:pStyle w:val="TableText"/>
            </w:pPr>
            <w:r w:rsidRPr="0000376C">
              <w:t>6</w:t>
            </w:r>
          </w:p>
        </w:tc>
        <w:tc>
          <w:tcPr>
            <w:tcW w:w="2309" w:type="dxa"/>
            <w:shd w:val="clear" w:color="auto" w:fill="FFFFFF"/>
            <w:tcMar>
              <w:top w:w="100" w:type="dxa"/>
              <w:left w:w="115" w:type="dxa"/>
              <w:bottom w:w="100" w:type="dxa"/>
              <w:right w:w="115" w:type="dxa"/>
            </w:tcMar>
          </w:tcPr>
          <w:p w:rsidR="0045767E" w:rsidRPr="0000376C" w:rsidRDefault="0045767E" w:rsidP="0000376C">
            <w:pPr>
              <w:pStyle w:val="TableText"/>
            </w:pPr>
            <w:r w:rsidRPr="0000376C">
              <w:t>“The Passionate Shepherd,” “The Nymph’s Reply</w:t>
            </w:r>
            <w:r w:rsidR="00A8344F" w:rsidRPr="0000376C">
              <w:t>,</w:t>
            </w:r>
            <w:r w:rsidRPr="0000376C">
              <w:t xml:space="preserve">” and “Raleigh </w:t>
            </w:r>
            <w:r w:rsidR="00427471" w:rsidRPr="0000376C">
              <w:t>W</w:t>
            </w:r>
            <w:r w:rsidRPr="0000376C">
              <w:t>as Right” (full texts)</w:t>
            </w:r>
          </w:p>
        </w:tc>
        <w:tc>
          <w:tcPr>
            <w:tcW w:w="6249" w:type="dxa"/>
            <w:shd w:val="clear" w:color="auto" w:fill="FFFFFF"/>
            <w:tcMar>
              <w:top w:w="100" w:type="dxa"/>
              <w:left w:w="115" w:type="dxa"/>
              <w:bottom w:w="100" w:type="dxa"/>
              <w:right w:w="115" w:type="dxa"/>
            </w:tcMar>
          </w:tcPr>
          <w:p w:rsidR="0045767E" w:rsidRPr="0000376C" w:rsidRDefault="0045767E" w:rsidP="0000376C">
            <w:pPr>
              <w:pStyle w:val="TableText"/>
            </w:pPr>
            <w:r w:rsidRPr="0000376C">
              <w:t>Students collect and analyze evidence from each of the three poems in this unit. Students work in groups to complete an Evidence Collection Tool in order to gather evidence about how Williams draws upon and transforms a central idea established by Marlowe and Raleigh. This analysis prepare</w:t>
            </w:r>
            <w:r w:rsidR="00A8344F" w:rsidRPr="0000376C">
              <w:t>s</w:t>
            </w:r>
            <w:r w:rsidRPr="0000376C">
              <w:t xml:space="preserve"> students to develop their </w:t>
            </w:r>
            <w:r w:rsidR="00A8344F" w:rsidRPr="0000376C">
              <w:t>E</w:t>
            </w:r>
            <w:r w:rsidRPr="0000376C">
              <w:t>nd</w:t>
            </w:r>
            <w:r w:rsidR="00A8344F" w:rsidRPr="0000376C">
              <w:t>-</w:t>
            </w:r>
            <w:r w:rsidRPr="0000376C">
              <w:t>of</w:t>
            </w:r>
            <w:r w:rsidR="00A8344F" w:rsidRPr="0000376C">
              <w:t>-U</w:t>
            </w:r>
            <w:r w:rsidRPr="0000376C">
              <w:t xml:space="preserve">nit </w:t>
            </w:r>
            <w:r w:rsidR="00A8344F" w:rsidRPr="0000376C">
              <w:t>A</w:t>
            </w:r>
            <w:r w:rsidRPr="0000376C">
              <w:t>ssessment.</w:t>
            </w:r>
          </w:p>
        </w:tc>
      </w:tr>
      <w:tr w:rsidR="0045767E">
        <w:tc>
          <w:tcPr>
            <w:tcW w:w="892" w:type="dxa"/>
            <w:shd w:val="clear" w:color="auto" w:fill="FFFFFF"/>
            <w:tcMar>
              <w:top w:w="100" w:type="dxa"/>
              <w:left w:w="115" w:type="dxa"/>
              <w:bottom w:w="100" w:type="dxa"/>
              <w:right w:w="115" w:type="dxa"/>
            </w:tcMar>
          </w:tcPr>
          <w:p w:rsidR="0045767E" w:rsidRPr="0000376C" w:rsidRDefault="0045767E" w:rsidP="0000376C">
            <w:pPr>
              <w:pStyle w:val="TableText"/>
            </w:pPr>
            <w:r w:rsidRPr="0000376C">
              <w:t>7</w:t>
            </w:r>
          </w:p>
        </w:tc>
        <w:tc>
          <w:tcPr>
            <w:tcW w:w="2309" w:type="dxa"/>
            <w:shd w:val="clear" w:color="auto" w:fill="FFFFFF"/>
            <w:tcMar>
              <w:top w:w="100" w:type="dxa"/>
              <w:left w:w="115" w:type="dxa"/>
              <w:bottom w:w="100" w:type="dxa"/>
              <w:right w:w="115" w:type="dxa"/>
            </w:tcMar>
          </w:tcPr>
          <w:p w:rsidR="0045767E" w:rsidRPr="0000376C" w:rsidRDefault="0045767E" w:rsidP="0000376C">
            <w:pPr>
              <w:pStyle w:val="TableText"/>
            </w:pPr>
            <w:r w:rsidRPr="0000376C">
              <w:t xml:space="preserve">“The Passionate </w:t>
            </w:r>
            <w:r w:rsidRPr="0000376C">
              <w:lastRenderedPageBreak/>
              <w:t>Shepherd,” “The Nymph’s Reply</w:t>
            </w:r>
            <w:r w:rsidR="00A8344F" w:rsidRPr="0000376C">
              <w:t>,</w:t>
            </w:r>
            <w:r w:rsidR="00DD69ED" w:rsidRPr="0000376C">
              <w:t>” and “Raleigh W</w:t>
            </w:r>
            <w:r w:rsidRPr="0000376C">
              <w:t>as Right” (full texts)</w:t>
            </w:r>
          </w:p>
        </w:tc>
        <w:tc>
          <w:tcPr>
            <w:tcW w:w="6249" w:type="dxa"/>
            <w:shd w:val="clear" w:color="auto" w:fill="FFFFFF"/>
            <w:tcMar>
              <w:top w:w="100" w:type="dxa"/>
              <w:left w:w="115" w:type="dxa"/>
              <w:bottom w:w="100" w:type="dxa"/>
              <w:right w:w="115" w:type="dxa"/>
            </w:tcMar>
          </w:tcPr>
          <w:p w:rsidR="0045767E" w:rsidRPr="0000376C" w:rsidRDefault="0045767E" w:rsidP="0000376C">
            <w:pPr>
              <w:pStyle w:val="TableText"/>
            </w:pPr>
            <w:r w:rsidRPr="0000376C">
              <w:rPr>
                <w:highlight w:val="white"/>
              </w:rPr>
              <w:lastRenderedPageBreak/>
              <w:t xml:space="preserve">Students participate in a collaborative brainstorm in preparation </w:t>
            </w:r>
            <w:r w:rsidRPr="0000376C">
              <w:rPr>
                <w:highlight w:val="white"/>
              </w:rPr>
              <w:lastRenderedPageBreak/>
              <w:t>for their independent written response, practicing the speaking and listening skills they acquir</w:t>
            </w:r>
            <w:r w:rsidR="00A8344F" w:rsidRPr="0000376C">
              <w:rPr>
                <w:highlight w:val="white"/>
              </w:rPr>
              <w:t>ed</w:t>
            </w:r>
            <w:r w:rsidRPr="0000376C">
              <w:rPr>
                <w:highlight w:val="white"/>
              </w:rPr>
              <w:t xml:space="preserve"> in this unit. Students make connections across all three texts in this unit as they craft a multi-paragraph essay in response to the </w:t>
            </w:r>
            <w:r w:rsidR="00A8344F" w:rsidRPr="0000376C">
              <w:rPr>
                <w:highlight w:val="white"/>
              </w:rPr>
              <w:t>E</w:t>
            </w:r>
            <w:r w:rsidRPr="0000376C">
              <w:rPr>
                <w:highlight w:val="white"/>
              </w:rPr>
              <w:t>nd</w:t>
            </w:r>
            <w:r w:rsidR="00A8344F" w:rsidRPr="0000376C">
              <w:rPr>
                <w:highlight w:val="white"/>
              </w:rPr>
              <w:t>-</w:t>
            </w:r>
            <w:r w:rsidRPr="0000376C">
              <w:rPr>
                <w:highlight w:val="white"/>
              </w:rPr>
              <w:t>o</w:t>
            </w:r>
            <w:r w:rsidR="00A8344F" w:rsidRPr="0000376C">
              <w:rPr>
                <w:highlight w:val="white"/>
              </w:rPr>
              <w:t>f-U</w:t>
            </w:r>
            <w:r w:rsidRPr="0000376C">
              <w:rPr>
                <w:highlight w:val="white"/>
              </w:rPr>
              <w:t xml:space="preserve">nit </w:t>
            </w:r>
            <w:r w:rsidR="00A8344F" w:rsidRPr="0000376C">
              <w:rPr>
                <w:highlight w:val="white"/>
              </w:rPr>
              <w:t>A</w:t>
            </w:r>
            <w:r w:rsidRPr="0000376C">
              <w:rPr>
                <w:highlight w:val="white"/>
              </w:rPr>
              <w:t>ssessment prompt.</w:t>
            </w:r>
          </w:p>
        </w:tc>
      </w:tr>
    </w:tbl>
    <w:p w:rsidR="001F53B2" w:rsidRDefault="00B15AEC">
      <w:pPr>
        <w:pStyle w:val="Heading1"/>
      </w:pPr>
      <w:r>
        <w:lastRenderedPageBreak/>
        <w:t>Preparation, Materials, and Resources</w:t>
      </w:r>
    </w:p>
    <w:p w:rsidR="001F53B2" w:rsidRDefault="00B15AEC">
      <w:r>
        <w:rPr>
          <w:b/>
        </w:rPr>
        <w:t>Preparation</w:t>
      </w:r>
    </w:p>
    <w:p w:rsidR="0045767E" w:rsidRDefault="0045767E" w:rsidP="0045767E">
      <w:pPr>
        <w:pStyle w:val="BulletedList"/>
      </w:pPr>
      <w:r>
        <w:t>Read and annotate "The Passionate Shepherd to His Love" by Christopher Marlowe, "The Nymph's Reply to the Shepherd" by Sir Walter Raleigh</w:t>
      </w:r>
      <w:r w:rsidR="00A8344F">
        <w:t>,</w:t>
      </w:r>
      <w:r>
        <w:t xml:space="preserve"> and "Raleigh </w:t>
      </w:r>
      <w:r w:rsidR="00442AAE">
        <w:t xml:space="preserve">Was </w:t>
      </w:r>
      <w:r>
        <w:t>Right" by William Carlos Williams</w:t>
      </w:r>
      <w:r w:rsidR="00A8344F">
        <w:t>.</w:t>
      </w:r>
    </w:p>
    <w:p w:rsidR="0045767E" w:rsidRDefault="0045767E" w:rsidP="0045767E">
      <w:pPr>
        <w:pStyle w:val="BulletedList"/>
      </w:pPr>
      <w:r>
        <w:t>Review the Text Analysis Rubric</w:t>
      </w:r>
      <w:r w:rsidR="006D3B98">
        <w:t xml:space="preserve"> and Checklist</w:t>
      </w:r>
      <w:r>
        <w:t>.</w:t>
      </w:r>
    </w:p>
    <w:p w:rsidR="0045767E" w:rsidRDefault="0045767E" w:rsidP="0045767E">
      <w:pPr>
        <w:pStyle w:val="BulletedList"/>
      </w:pPr>
      <w:r>
        <w:t xml:space="preserve">Review all unit standards and post in </w:t>
      </w:r>
      <w:r w:rsidR="00A8344F">
        <w:t xml:space="preserve">the </w:t>
      </w:r>
      <w:r>
        <w:t>classroom.</w:t>
      </w:r>
    </w:p>
    <w:p w:rsidR="00F73039" w:rsidRDefault="00F73039" w:rsidP="00F73039">
      <w:pPr>
        <w:pStyle w:val="BulletedList"/>
      </w:pPr>
      <w:r w:rsidRPr="00F73039">
        <w:t>Consider creating a word wall of the vocabulary provided in all lessons.</w:t>
      </w:r>
    </w:p>
    <w:p w:rsidR="001F53B2" w:rsidRDefault="001F53B2"/>
    <w:p w:rsidR="001F53B2" w:rsidRDefault="00B15AEC" w:rsidP="006D6233">
      <w:pPr>
        <w:keepNext/>
      </w:pPr>
      <w:r>
        <w:rPr>
          <w:b/>
        </w:rPr>
        <w:t>Materials/Resources</w:t>
      </w:r>
    </w:p>
    <w:p w:rsidR="0045767E" w:rsidRDefault="0045767E" w:rsidP="0045767E">
      <w:pPr>
        <w:pStyle w:val="BulletedList"/>
      </w:pPr>
      <w:r>
        <w:t>Chart paper</w:t>
      </w:r>
    </w:p>
    <w:p w:rsidR="0045767E" w:rsidRDefault="0045767E" w:rsidP="0045767E">
      <w:pPr>
        <w:pStyle w:val="BulletedList"/>
      </w:pPr>
      <w:r>
        <w:t>Copies of the texts "The Passionate Shepherd to His Love" by Christopher Marlowe, "The Nymph's Reply to the Shepherd" by Sir Walter Raleigh</w:t>
      </w:r>
      <w:r w:rsidR="00A8344F">
        <w:t>,</w:t>
      </w:r>
      <w:r>
        <w:t xml:space="preserve"> and "Raleigh </w:t>
      </w:r>
      <w:r w:rsidR="00442AAE">
        <w:t xml:space="preserve">Was </w:t>
      </w:r>
      <w:r>
        <w:t>Right" by William Carlos Williams</w:t>
      </w:r>
      <w:r w:rsidR="00A8344F">
        <w:t>.</w:t>
      </w:r>
    </w:p>
    <w:p w:rsidR="0045767E" w:rsidRDefault="0045767E" w:rsidP="0045767E">
      <w:pPr>
        <w:pStyle w:val="BulletedList"/>
      </w:pPr>
      <w:r>
        <w:t>Masterful recordings of both "The Passionate Shepherd to His Love" by Christopher Marlowe</w:t>
      </w:r>
      <w:r w:rsidR="00A8344F">
        <w:t xml:space="preserve"> and</w:t>
      </w:r>
      <w:r>
        <w:t xml:space="preserve"> "The Nymph's Reply to the Shepherd" by Sir Walter Raleigh</w:t>
      </w:r>
      <w:r w:rsidR="00A8344F">
        <w:t>.</w:t>
      </w:r>
      <w:r>
        <w:t xml:space="preserve"> (optional: see Lessons 1 and 3</w:t>
      </w:r>
      <w:r w:rsidR="00A8344F">
        <w:t>)</w:t>
      </w:r>
    </w:p>
    <w:p w:rsidR="0045767E" w:rsidRDefault="0045767E" w:rsidP="0045767E">
      <w:pPr>
        <w:pStyle w:val="BulletedList"/>
      </w:pPr>
      <w:r>
        <w:t>Self-stick notes for students</w:t>
      </w:r>
    </w:p>
    <w:p w:rsidR="0045767E" w:rsidRDefault="0045767E" w:rsidP="0045767E">
      <w:pPr>
        <w:pStyle w:val="BulletedList"/>
      </w:pPr>
      <w:r>
        <w:t>Writing utensils including pencils, pens, markers, and highlighters</w:t>
      </w:r>
    </w:p>
    <w:p w:rsidR="0045767E" w:rsidRDefault="0045767E" w:rsidP="0045767E">
      <w:pPr>
        <w:pStyle w:val="BulletedList"/>
      </w:pPr>
      <w:r>
        <w:t>Methods for collecting student work: student notebooks, folders, etc.</w:t>
      </w:r>
    </w:p>
    <w:p w:rsidR="0045767E" w:rsidRDefault="0045767E" w:rsidP="0045767E">
      <w:pPr>
        <w:pStyle w:val="BulletedList"/>
      </w:pPr>
      <w:r>
        <w:t>Access to technology (if possible): interactive whiteboard, document camera, and LCD projector</w:t>
      </w:r>
    </w:p>
    <w:p w:rsidR="0045767E" w:rsidRDefault="0045767E" w:rsidP="0045767E">
      <w:pPr>
        <w:pStyle w:val="BulletedList"/>
      </w:pPr>
      <w:r>
        <w:t>Copies of handouts and tools for each student: see materials list in individual lesson plans</w:t>
      </w:r>
    </w:p>
    <w:p w:rsidR="0045767E" w:rsidRDefault="0045767E" w:rsidP="0045767E">
      <w:pPr>
        <w:pStyle w:val="BulletedList"/>
      </w:pPr>
      <w:r>
        <w:t>Copies of the 10.1 Common Core Learning Standards Tool</w:t>
      </w:r>
    </w:p>
    <w:p w:rsidR="0045767E" w:rsidRDefault="0045767E" w:rsidP="0045767E">
      <w:pPr>
        <w:pStyle w:val="BulletedList"/>
      </w:pPr>
      <w:r>
        <w:t>Copies of the Text Analysis Rubric</w:t>
      </w:r>
      <w:r w:rsidR="006D3B98">
        <w:t xml:space="preserve"> and Checklist</w:t>
      </w:r>
    </w:p>
    <w:p w:rsidR="007C6688" w:rsidRDefault="0045767E" w:rsidP="0045767E">
      <w:pPr>
        <w:pStyle w:val="BulletedList"/>
      </w:pPr>
      <w:r>
        <w:t xml:space="preserve">Copies of the Short Response </w:t>
      </w:r>
      <w:r w:rsidR="00862975">
        <w:t xml:space="preserve">Rubric and </w:t>
      </w:r>
      <w:r>
        <w:t>Checklist</w:t>
      </w:r>
    </w:p>
    <w:p w:rsidR="001F53B2" w:rsidRDefault="0045767E" w:rsidP="001B45F6">
      <w:pPr>
        <w:pStyle w:val="BulletedList"/>
        <w:spacing w:before="0" w:after="0" w:line="240" w:lineRule="auto"/>
      </w:pPr>
      <w:r>
        <w:t>Copies of the Speaking and Listening Rubric</w:t>
      </w:r>
      <w:r w:rsidR="006D3B98">
        <w:t xml:space="preserve"> and Checklist</w:t>
      </w:r>
    </w:p>
    <w:sectPr w:rsidR="001F53B2" w:rsidSect="007F5F49">
      <w:headerReference w:type="default" r:id="rId7"/>
      <w:footerReference w:type="default" r:id="rId8"/>
      <w:pgSz w:w="12240" w:h="15840" w:code="1"/>
      <w:pgMar w:top="1440" w:right="1440" w:bottom="1440" w:left="1440" w:header="432"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A6" w:rsidRDefault="006B35A6">
      <w:pPr>
        <w:spacing w:before="0" w:after="0" w:line="240" w:lineRule="auto"/>
      </w:pPr>
      <w:r>
        <w:separator/>
      </w:r>
    </w:p>
  </w:endnote>
  <w:endnote w:type="continuationSeparator" w:id="0">
    <w:p w:rsidR="006B35A6" w:rsidRDefault="006B35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C8" w:rsidRPr="00563CB8" w:rsidRDefault="00131FC8" w:rsidP="00131FC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31FC8">
      <w:trPr>
        <w:trHeight w:val="705"/>
      </w:trPr>
      <w:tc>
        <w:tcPr>
          <w:tcW w:w="4609" w:type="dxa"/>
          <w:shd w:val="clear" w:color="auto" w:fill="auto"/>
          <w:vAlign w:val="center"/>
        </w:tcPr>
        <w:p w:rsidR="00131FC8" w:rsidRPr="002E4C92" w:rsidRDefault="00131FC8" w:rsidP="00131FC8">
          <w:pPr>
            <w:pStyle w:val="FooterText"/>
          </w:pPr>
          <w:r w:rsidRPr="002E4C92">
            <w:t>File:</w:t>
          </w:r>
          <w:r w:rsidRPr="0039525B">
            <w:rPr>
              <w:b w:val="0"/>
            </w:rPr>
            <w:t xml:space="preserve"> </w:t>
          </w:r>
          <w:r>
            <w:rPr>
              <w:b w:val="0"/>
            </w:rPr>
            <w:t>10.1.</w:t>
          </w:r>
          <w:r w:rsidR="00F73039">
            <w:rPr>
              <w:b w:val="0"/>
            </w:rPr>
            <w:t>1</w:t>
          </w:r>
          <w:r>
            <w:rPr>
              <w:b w:val="0"/>
            </w:rPr>
            <w:t xml:space="preserve"> Unit Overview</w:t>
          </w:r>
          <w:r w:rsidRPr="002E4C92">
            <w:t xml:space="preserve"> Date:</w:t>
          </w:r>
          <w:r w:rsidRPr="0039525B">
            <w:rPr>
              <w:b w:val="0"/>
            </w:rPr>
            <w:t xml:space="preserve"> </w:t>
          </w:r>
          <w:r w:rsidR="008142A4">
            <w:rPr>
              <w:b w:val="0"/>
            </w:rPr>
            <w:t>2</w:t>
          </w:r>
          <w:r w:rsidRPr="00131FC8">
            <w:rPr>
              <w:b w:val="0"/>
            </w:rPr>
            <w:t>/</w:t>
          </w:r>
          <w:r w:rsidR="008142A4">
            <w:rPr>
              <w:b w:val="0"/>
            </w:rPr>
            <w:t>3/14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131FC8" w:rsidRPr="0039525B" w:rsidRDefault="00131FC8" w:rsidP="00131FC8">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131FC8" w:rsidRPr="0039525B" w:rsidRDefault="00131FC8" w:rsidP="00131FC8">
          <w:pPr>
            <w:pStyle w:val="FooterText"/>
            <w:rPr>
              <w:b w:val="0"/>
              <w:i/>
            </w:rPr>
          </w:pPr>
          <w:r w:rsidRPr="0039525B">
            <w:rPr>
              <w:b w:val="0"/>
              <w:i/>
              <w:sz w:val="12"/>
            </w:rPr>
            <w:t>Creative Commons Attribution-NonCommercial-ShareAlike 3.0 Unported License</w:t>
          </w:r>
        </w:p>
        <w:p w:rsidR="00131FC8" w:rsidRPr="002E4C92" w:rsidRDefault="006B35A6" w:rsidP="00131FC8">
          <w:pPr>
            <w:pStyle w:val="FooterText"/>
          </w:pPr>
          <w:hyperlink r:id="rId1" w:history="1">
            <w:r w:rsidR="00131FC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31FC8" w:rsidRPr="002E4C92" w:rsidRDefault="00314174" w:rsidP="00131FC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31FC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663C2">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131FC8" w:rsidRPr="002E4C92" w:rsidRDefault="00131FC8" w:rsidP="00131FC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31FC8" w:rsidRPr="0039525B" w:rsidRDefault="00131FC8" w:rsidP="008142A4">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A6" w:rsidRDefault="006B35A6">
      <w:pPr>
        <w:spacing w:before="0" w:after="0" w:line="240" w:lineRule="auto"/>
      </w:pPr>
      <w:r>
        <w:separator/>
      </w:r>
    </w:p>
  </w:footnote>
  <w:footnote w:type="continuationSeparator" w:id="0">
    <w:p w:rsidR="006B35A6" w:rsidRDefault="006B35A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Ind w:w="98" w:type="dxa"/>
      <w:tblLayout w:type="fixed"/>
      <w:tblCellMar>
        <w:left w:w="10" w:type="dxa"/>
        <w:right w:w="10" w:type="dxa"/>
      </w:tblCellMar>
      <w:tblLook w:val="0000" w:firstRow="0" w:lastRow="0" w:firstColumn="0" w:lastColumn="0" w:noHBand="0" w:noVBand="0"/>
    </w:tblPr>
    <w:tblGrid>
      <w:gridCol w:w="3708"/>
      <w:gridCol w:w="2430"/>
      <w:gridCol w:w="3438"/>
    </w:tblGrid>
    <w:tr w:rsidR="001F53B2">
      <w:tc>
        <w:tcPr>
          <w:tcW w:w="3708" w:type="dxa"/>
          <w:tcMar>
            <w:top w:w="100" w:type="dxa"/>
            <w:left w:w="108" w:type="dxa"/>
            <w:bottom w:w="100" w:type="dxa"/>
            <w:right w:w="108" w:type="dxa"/>
          </w:tcMar>
        </w:tcPr>
        <w:p w:rsidR="001F53B2" w:rsidRDefault="00B15AEC" w:rsidP="00131FC8">
          <w:pPr>
            <w:pStyle w:val="PageHeader"/>
          </w:pPr>
          <w:r>
            <w:t>NYS Common Core ELA &amp; Literacy Curriculum</w:t>
          </w:r>
        </w:p>
      </w:tc>
      <w:tc>
        <w:tcPr>
          <w:tcW w:w="2430" w:type="dxa"/>
          <w:tcMar>
            <w:top w:w="100" w:type="dxa"/>
            <w:left w:w="108" w:type="dxa"/>
            <w:bottom w:w="100" w:type="dxa"/>
            <w:right w:w="108" w:type="dxa"/>
          </w:tcMar>
          <w:vAlign w:val="center"/>
        </w:tcPr>
        <w:p w:rsidR="001F53B2" w:rsidRPr="00131FC8" w:rsidRDefault="00B15AEC" w:rsidP="00131FC8">
          <w:pPr>
            <w:jc w:val="center"/>
          </w:pPr>
          <w:r w:rsidRPr="00131FC8">
            <w:t>D R A F T</w:t>
          </w:r>
        </w:p>
      </w:tc>
      <w:tc>
        <w:tcPr>
          <w:tcW w:w="3438" w:type="dxa"/>
          <w:tcMar>
            <w:top w:w="100" w:type="dxa"/>
            <w:left w:w="108" w:type="dxa"/>
            <w:bottom w:w="100" w:type="dxa"/>
            <w:right w:w="108" w:type="dxa"/>
          </w:tcMar>
        </w:tcPr>
        <w:p w:rsidR="001F53B2" w:rsidRPr="00131FC8" w:rsidRDefault="003F51FE" w:rsidP="00131FC8">
          <w:pPr>
            <w:pStyle w:val="PageHeader"/>
            <w:jc w:val="right"/>
            <w:rPr>
              <w:b w:val="0"/>
            </w:rPr>
          </w:pPr>
          <w:r w:rsidRPr="00131FC8">
            <w:rPr>
              <w:b w:val="0"/>
            </w:rPr>
            <w:t>Grade 10</w:t>
          </w:r>
          <w:r w:rsidR="00B15AEC" w:rsidRPr="00131FC8">
            <w:rPr>
              <w:b w:val="0"/>
            </w:rPr>
            <w:t xml:space="preserve"> • Module </w:t>
          </w:r>
          <w:r w:rsidRPr="00131FC8">
            <w:rPr>
              <w:b w:val="0"/>
            </w:rPr>
            <w:t>1</w:t>
          </w:r>
          <w:r w:rsidR="00B15AEC" w:rsidRPr="00131FC8">
            <w:rPr>
              <w:b w:val="0"/>
            </w:rPr>
            <w:t xml:space="preserve"> • Unit </w:t>
          </w:r>
          <w:r w:rsidR="008142A4">
            <w:rPr>
              <w:b w:val="0"/>
            </w:rPr>
            <w:t>1</w:t>
          </w:r>
          <w:r w:rsidR="00B15AEC" w:rsidRPr="00131FC8">
            <w:rPr>
              <w:b w:val="0"/>
            </w:rPr>
            <w:t xml:space="preserve"> Overview</w:t>
          </w:r>
        </w:p>
      </w:tc>
    </w:tr>
  </w:tbl>
  <w:p w:rsidR="001F53B2" w:rsidRDefault="001F53B2">
    <w:pP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04040"/>
    <w:multiLevelType w:val="hybridMultilevel"/>
    <w:tmpl w:val="194CB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15400E"/>
    <w:multiLevelType w:val="hybridMultilevel"/>
    <w:tmpl w:val="455C3B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1861D1"/>
    <w:multiLevelType w:val="multilevel"/>
    <w:tmpl w:val="B9FC90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34E6D83"/>
    <w:multiLevelType w:val="hybridMultilevel"/>
    <w:tmpl w:val="13FC2F40"/>
    <w:lvl w:ilvl="0" w:tplc="19728DBE">
      <w:start w:val="2"/>
      <w:numFmt w:val="lowerLetter"/>
      <w:pStyle w:val="Style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34AB6"/>
    <w:multiLevelType w:val="hybridMultilevel"/>
    <w:tmpl w:val="2B803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90907"/>
    <w:multiLevelType w:val="hybridMultilevel"/>
    <w:tmpl w:val="0E985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61579"/>
    <w:multiLevelType w:val="hybridMultilevel"/>
    <w:tmpl w:val="34F4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57447"/>
    <w:multiLevelType w:val="hybridMultilevel"/>
    <w:tmpl w:val="3E7A38EC"/>
    <w:lvl w:ilvl="0" w:tplc="23E44AD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F6992"/>
    <w:multiLevelType w:val="hybridMultilevel"/>
    <w:tmpl w:val="385470B2"/>
    <w:lvl w:ilvl="0" w:tplc="51F44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2"/>
  </w:num>
  <w:num w:numId="5">
    <w:abstractNumId w:val="3"/>
    <w:lvlOverride w:ilvl="0">
      <w:startOverride w:val="1"/>
    </w:lvlOverride>
  </w:num>
  <w:num w:numId="6">
    <w:abstractNumId w:val="13"/>
  </w:num>
  <w:num w:numId="7">
    <w:abstractNumId w:val="1"/>
  </w:num>
  <w:num w:numId="8">
    <w:abstractNumId w:val="11"/>
  </w:num>
  <w:num w:numId="9">
    <w:abstractNumId w:val="2"/>
  </w:num>
  <w:num w:numId="10">
    <w:abstractNumId w:val="4"/>
  </w:num>
  <w:num w:numId="11">
    <w:abstractNumId w:val="10"/>
  </w:num>
  <w:num w:numId="12">
    <w:abstractNumId w:val="0"/>
  </w:num>
  <w:num w:numId="13">
    <w:abstractNumId w:val="12"/>
  </w:num>
  <w:num w:numId="14">
    <w:abstractNumId w:val="3"/>
    <w:lvlOverride w:ilvl="0">
      <w:startOverride w:val="1"/>
    </w:lvlOverride>
  </w:num>
  <w:num w:numId="15">
    <w:abstractNumId w:val="13"/>
  </w:num>
  <w:num w:numId="16">
    <w:abstractNumId w:val="1"/>
  </w:num>
  <w:num w:numId="17">
    <w:abstractNumId w:val="11"/>
  </w:num>
  <w:num w:numId="18">
    <w:abstractNumId w:val="10"/>
  </w:num>
  <w:num w:numId="19">
    <w:abstractNumId w:val="0"/>
  </w:num>
  <w:num w:numId="20">
    <w:abstractNumId w:val="12"/>
  </w:num>
  <w:num w:numId="21">
    <w:abstractNumId w:val="3"/>
    <w:lvlOverride w:ilvl="0">
      <w:startOverride w:val="1"/>
    </w:lvlOverride>
  </w:num>
  <w:num w:numId="22">
    <w:abstractNumId w:val="13"/>
  </w:num>
  <w:num w:numId="23">
    <w:abstractNumId w:val="1"/>
  </w:num>
  <w:num w:numId="24">
    <w:abstractNumId w:val="11"/>
  </w:num>
  <w:num w:numId="25">
    <w:abstractNumId w:val="7"/>
  </w:num>
  <w:num w:numId="26">
    <w:abstractNumId w:val="8"/>
  </w:num>
  <w:num w:numId="27">
    <w:abstractNumId w:val="9"/>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53B2"/>
    <w:rsid w:val="0000376C"/>
    <w:rsid w:val="00026FF5"/>
    <w:rsid w:val="00074739"/>
    <w:rsid w:val="000B1371"/>
    <w:rsid w:val="000B32CC"/>
    <w:rsid w:val="000C2065"/>
    <w:rsid w:val="000C295B"/>
    <w:rsid w:val="000E69DD"/>
    <w:rsid w:val="00111F58"/>
    <w:rsid w:val="00131FC8"/>
    <w:rsid w:val="00147274"/>
    <w:rsid w:val="00172154"/>
    <w:rsid w:val="001B45F6"/>
    <w:rsid w:val="001F53B2"/>
    <w:rsid w:val="00217AC2"/>
    <w:rsid w:val="00232AF2"/>
    <w:rsid w:val="0024184F"/>
    <w:rsid w:val="00267CC0"/>
    <w:rsid w:val="002B4F60"/>
    <w:rsid w:val="002D1835"/>
    <w:rsid w:val="002F0DB0"/>
    <w:rsid w:val="00314174"/>
    <w:rsid w:val="003530D5"/>
    <w:rsid w:val="003A6984"/>
    <w:rsid w:val="003F51FE"/>
    <w:rsid w:val="004143B6"/>
    <w:rsid w:val="004225CE"/>
    <w:rsid w:val="00427471"/>
    <w:rsid w:val="00442AAE"/>
    <w:rsid w:val="0045767E"/>
    <w:rsid w:val="004A3DC5"/>
    <w:rsid w:val="004B6BC1"/>
    <w:rsid w:val="004C06F6"/>
    <w:rsid w:val="00502E97"/>
    <w:rsid w:val="00503092"/>
    <w:rsid w:val="00534891"/>
    <w:rsid w:val="00563A72"/>
    <w:rsid w:val="00584311"/>
    <w:rsid w:val="005A2D57"/>
    <w:rsid w:val="005A6BC8"/>
    <w:rsid w:val="005C3830"/>
    <w:rsid w:val="005F1E56"/>
    <w:rsid w:val="005F5D9D"/>
    <w:rsid w:val="00614953"/>
    <w:rsid w:val="00627935"/>
    <w:rsid w:val="00630BB3"/>
    <w:rsid w:val="00692CBE"/>
    <w:rsid w:val="006B35A6"/>
    <w:rsid w:val="006D3B98"/>
    <w:rsid w:val="006D6233"/>
    <w:rsid w:val="006D6DC2"/>
    <w:rsid w:val="006F61C4"/>
    <w:rsid w:val="007333AA"/>
    <w:rsid w:val="007824E8"/>
    <w:rsid w:val="007C6688"/>
    <w:rsid w:val="007F5F49"/>
    <w:rsid w:val="008142A4"/>
    <w:rsid w:val="00862975"/>
    <w:rsid w:val="00894432"/>
    <w:rsid w:val="008C03A0"/>
    <w:rsid w:val="008F2E0D"/>
    <w:rsid w:val="00906835"/>
    <w:rsid w:val="009327D0"/>
    <w:rsid w:val="00962F1C"/>
    <w:rsid w:val="00992B82"/>
    <w:rsid w:val="00996671"/>
    <w:rsid w:val="009A117D"/>
    <w:rsid w:val="009C02A7"/>
    <w:rsid w:val="009C681A"/>
    <w:rsid w:val="009C7B69"/>
    <w:rsid w:val="009E3FBE"/>
    <w:rsid w:val="009F09FA"/>
    <w:rsid w:val="009F4B09"/>
    <w:rsid w:val="009F4F30"/>
    <w:rsid w:val="00A407B4"/>
    <w:rsid w:val="00A8344F"/>
    <w:rsid w:val="00AE74FF"/>
    <w:rsid w:val="00AF42BE"/>
    <w:rsid w:val="00B00462"/>
    <w:rsid w:val="00B05C9F"/>
    <w:rsid w:val="00B11DB4"/>
    <w:rsid w:val="00B15AEC"/>
    <w:rsid w:val="00B378FC"/>
    <w:rsid w:val="00B51807"/>
    <w:rsid w:val="00B544FF"/>
    <w:rsid w:val="00B86216"/>
    <w:rsid w:val="00BD72CA"/>
    <w:rsid w:val="00C11456"/>
    <w:rsid w:val="00C247CD"/>
    <w:rsid w:val="00C34D4B"/>
    <w:rsid w:val="00C940EF"/>
    <w:rsid w:val="00CD7C94"/>
    <w:rsid w:val="00CE665A"/>
    <w:rsid w:val="00CF6641"/>
    <w:rsid w:val="00D04230"/>
    <w:rsid w:val="00D47A39"/>
    <w:rsid w:val="00D663C2"/>
    <w:rsid w:val="00D83E02"/>
    <w:rsid w:val="00DD6009"/>
    <w:rsid w:val="00DD69ED"/>
    <w:rsid w:val="00DE29B4"/>
    <w:rsid w:val="00DF0741"/>
    <w:rsid w:val="00E135FB"/>
    <w:rsid w:val="00E46F5D"/>
    <w:rsid w:val="00E715A9"/>
    <w:rsid w:val="00E818E7"/>
    <w:rsid w:val="00E8449F"/>
    <w:rsid w:val="00EE5932"/>
    <w:rsid w:val="00F026A8"/>
    <w:rsid w:val="00F73039"/>
    <w:rsid w:val="00F76131"/>
    <w:rsid w:val="00F94B55"/>
    <w:rsid w:val="00FB65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0FB11-83B2-43E5-95BE-801D7B5E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4143B6"/>
    <w:pPr>
      <w:spacing w:before="60" w:after="180" w:line="276" w:lineRule="auto"/>
    </w:pPr>
    <w:rPr>
      <w:rFonts w:ascii="Calibri" w:eastAsia="Calibri" w:hAnsi="Calibri" w:cs="Times New Roman"/>
      <w:lang w:val="en-US" w:eastAsia="en-US"/>
    </w:rPr>
  </w:style>
  <w:style w:type="paragraph" w:styleId="Heading1">
    <w:name w:val="heading 1"/>
    <w:aliases w:val="*Headers"/>
    <w:basedOn w:val="Normal"/>
    <w:next w:val="Normal"/>
    <w:link w:val="Heading1Char"/>
    <w:uiPriority w:val="9"/>
    <w:qFormat/>
    <w:rsid w:val="00B544FF"/>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B544FF"/>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544FF"/>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rsid w:val="00A407B4"/>
    <w:pPr>
      <w:spacing w:before="240" w:line="240" w:lineRule="auto"/>
      <w:outlineLvl w:val="3"/>
    </w:pPr>
    <w:rPr>
      <w:b/>
      <w:sz w:val="28"/>
    </w:rPr>
  </w:style>
  <w:style w:type="paragraph" w:styleId="Heading5">
    <w:name w:val="heading 5"/>
    <w:basedOn w:val="Normal"/>
    <w:next w:val="Normal"/>
    <w:rsid w:val="00A407B4"/>
    <w:pPr>
      <w:spacing w:before="220" w:after="40" w:line="240" w:lineRule="auto"/>
      <w:outlineLvl w:val="4"/>
    </w:pPr>
    <w:rPr>
      <w:b/>
    </w:rPr>
  </w:style>
  <w:style w:type="paragraph" w:styleId="Heading6">
    <w:name w:val="heading 6"/>
    <w:basedOn w:val="Normal"/>
    <w:next w:val="Normal"/>
    <w:rsid w:val="00A407B4"/>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B544FF"/>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rsid w:val="00A407B4"/>
    <w:pPr>
      <w:spacing w:before="360" w:after="80" w:line="240" w:lineRule="auto"/>
    </w:pPr>
    <w:rPr>
      <w:rFonts w:ascii="Georgia" w:eastAsia="Georgia" w:hAnsi="Georgia" w:cs="Georgia"/>
      <w:i/>
      <w:color w:val="666666"/>
      <w:sz w:val="48"/>
    </w:rPr>
  </w:style>
  <w:style w:type="paragraph" w:styleId="Header">
    <w:name w:val="header"/>
    <w:basedOn w:val="Normal"/>
    <w:link w:val="HeaderChar"/>
    <w:uiPriority w:val="99"/>
    <w:unhideWhenUsed/>
    <w:rsid w:val="00B544FF"/>
    <w:pPr>
      <w:tabs>
        <w:tab w:val="center" w:pos="4680"/>
        <w:tab w:val="right" w:pos="9360"/>
      </w:tabs>
    </w:pPr>
    <w:rPr>
      <w:sz w:val="20"/>
    </w:rPr>
  </w:style>
  <w:style w:type="character" w:customStyle="1" w:styleId="HeaderChar">
    <w:name w:val="Header Char"/>
    <w:link w:val="Header"/>
    <w:uiPriority w:val="99"/>
    <w:rsid w:val="00B544FF"/>
    <w:rPr>
      <w:rFonts w:ascii="Calibri" w:eastAsia="Calibri" w:hAnsi="Calibri" w:cs="Times New Roman"/>
      <w:sz w:val="20"/>
      <w:lang w:val="en-US" w:eastAsia="en-US"/>
    </w:rPr>
  </w:style>
  <w:style w:type="paragraph" w:styleId="Footer">
    <w:name w:val="footer"/>
    <w:basedOn w:val="Normal"/>
    <w:link w:val="FooterChar"/>
    <w:uiPriority w:val="99"/>
    <w:rsid w:val="00B544FF"/>
    <w:pPr>
      <w:tabs>
        <w:tab w:val="center" w:pos="4320"/>
        <w:tab w:val="right" w:pos="8640"/>
      </w:tabs>
    </w:pPr>
    <w:rPr>
      <w:rFonts w:ascii="Times New Roman" w:hAnsi="Times New Roman"/>
      <w:sz w:val="20"/>
    </w:rPr>
  </w:style>
  <w:style w:type="character" w:customStyle="1" w:styleId="FooterChar">
    <w:name w:val="Footer Char"/>
    <w:link w:val="Footer"/>
    <w:uiPriority w:val="99"/>
    <w:rsid w:val="00B544FF"/>
    <w:rPr>
      <w:rFonts w:ascii="Times New Roman" w:eastAsia="Calibri" w:hAnsi="Times New Roman" w:cs="Times New Roman"/>
      <w:sz w:val="20"/>
      <w:lang w:val="en-US" w:eastAsia="en-US"/>
    </w:rPr>
  </w:style>
  <w:style w:type="paragraph" w:styleId="Quote">
    <w:name w:val="Quote"/>
    <w:basedOn w:val="Normal"/>
    <w:next w:val="Normal"/>
    <w:link w:val="QuoteChar"/>
    <w:uiPriority w:val="29"/>
    <w:qFormat/>
    <w:rsid w:val="009966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96671"/>
    <w:rPr>
      <w:rFonts w:ascii="Calibri" w:eastAsia="Calibri" w:hAnsi="Calibri" w:cs="Calibri"/>
      <w:i/>
      <w:iCs/>
      <w:color w:val="404040" w:themeColor="text1" w:themeTint="BF"/>
    </w:rPr>
  </w:style>
  <w:style w:type="paragraph" w:styleId="NoSpacing">
    <w:name w:val="No Spacing"/>
    <w:uiPriority w:val="1"/>
    <w:qFormat/>
    <w:rsid w:val="006F61C4"/>
    <w:pPr>
      <w:spacing w:after="0" w:line="240" w:lineRule="auto"/>
    </w:pPr>
    <w:rPr>
      <w:rFonts w:ascii="Calibri" w:eastAsia="Calibri" w:hAnsi="Calibri" w:cs="Calibri"/>
      <w:color w:val="000000"/>
    </w:rPr>
  </w:style>
  <w:style w:type="paragraph" w:customStyle="1" w:styleId="BR">
    <w:name w:val="*BR*"/>
    <w:link w:val="BRChar"/>
    <w:qFormat/>
    <w:rsid w:val="00B544FF"/>
    <w:pPr>
      <w:pBdr>
        <w:bottom w:val="single" w:sz="12" w:space="1" w:color="7F7F7F" w:themeColor="text1" w:themeTint="80"/>
      </w:pBdr>
      <w:spacing w:after="360" w:line="240" w:lineRule="auto"/>
      <w:ind w:left="2880" w:right="2880"/>
    </w:pPr>
    <w:rPr>
      <w:rFonts w:ascii="Calibri" w:eastAsia="Calibri" w:hAnsi="Calibri" w:cs="Times New Roman"/>
      <w:sz w:val="18"/>
      <w:lang w:val="en-US" w:eastAsia="en-US"/>
    </w:rPr>
  </w:style>
  <w:style w:type="character" w:customStyle="1" w:styleId="BRChar">
    <w:name w:val="*BR* Char"/>
    <w:basedOn w:val="DefaultParagraphFont"/>
    <w:link w:val="BR"/>
    <w:rsid w:val="00B544FF"/>
    <w:rPr>
      <w:rFonts w:ascii="Calibri" w:eastAsia="Calibri" w:hAnsi="Calibri" w:cs="Times New Roman"/>
      <w:sz w:val="18"/>
      <w:lang w:val="en-US" w:eastAsia="en-US"/>
    </w:rPr>
  </w:style>
  <w:style w:type="paragraph" w:customStyle="1" w:styleId="BulletedList">
    <w:name w:val="*Bulleted List"/>
    <w:link w:val="BulletedListChar"/>
    <w:qFormat/>
    <w:rsid w:val="00B544FF"/>
    <w:pPr>
      <w:numPr>
        <w:numId w:val="18"/>
      </w:numPr>
      <w:spacing w:before="60" w:after="60" w:line="276" w:lineRule="auto"/>
    </w:pPr>
    <w:rPr>
      <w:rFonts w:ascii="Calibri" w:eastAsia="Calibri" w:hAnsi="Calibri" w:cs="Times New Roman"/>
      <w:lang w:val="en-US" w:eastAsia="en-US"/>
    </w:rPr>
  </w:style>
  <w:style w:type="character" w:customStyle="1" w:styleId="BulletedListChar">
    <w:name w:val="*Bulleted List Char"/>
    <w:basedOn w:val="MediumList2-Accent41Char"/>
    <w:link w:val="BulletedList"/>
    <w:rsid w:val="00B544FF"/>
    <w:rPr>
      <w:rFonts w:ascii="Calibri" w:eastAsia="Calibri" w:hAnsi="Calibri" w:cs="Times New Roman"/>
      <w:lang w:val="en-US" w:eastAsia="en-US"/>
    </w:rPr>
  </w:style>
  <w:style w:type="paragraph" w:customStyle="1" w:styleId="ExcerptAuthor">
    <w:name w:val="*ExcerptAuthor"/>
    <w:basedOn w:val="Normal"/>
    <w:link w:val="ExcerptAuthorChar"/>
    <w:qFormat/>
    <w:rsid w:val="00B544FF"/>
    <w:pPr>
      <w:jc w:val="center"/>
    </w:pPr>
    <w:rPr>
      <w:rFonts w:asciiTheme="majorHAnsi" w:hAnsiTheme="majorHAnsi"/>
      <w:b/>
    </w:rPr>
  </w:style>
  <w:style w:type="character" w:customStyle="1" w:styleId="ExcerptAuthorChar">
    <w:name w:val="*ExcerptAuthor Char"/>
    <w:basedOn w:val="DefaultParagraphFont"/>
    <w:link w:val="ExcerptAuthor"/>
    <w:rsid w:val="00B544FF"/>
    <w:rPr>
      <w:rFonts w:asciiTheme="majorHAnsi" w:eastAsia="Calibri" w:hAnsiTheme="majorHAnsi" w:cs="Times New Roman"/>
      <w:b/>
      <w:lang w:val="en-US" w:eastAsia="en-US"/>
    </w:rPr>
  </w:style>
  <w:style w:type="paragraph" w:customStyle="1" w:styleId="ExcerptBody">
    <w:name w:val="*ExcerptBody"/>
    <w:basedOn w:val="Normal"/>
    <w:link w:val="ExcerptBodyChar"/>
    <w:qFormat/>
    <w:rsid w:val="00B544F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B544FF"/>
    <w:rPr>
      <w:rFonts w:ascii="Times New Roman" w:eastAsia="Times New Roman" w:hAnsi="Times New Roman" w:cs="Times New Roman"/>
      <w:color w:val="000000"/>
      <w:sz w:val="24"/>
      <w:szCs w:val="17"/>
      <w:lang w:val="en-US" w:eastAsia="en-US"/>
    </w:rPr>
  </w:style>
  <w:style w:type="paragraph" w:customStyle="1" w:styleId="ExcerptTitle">
    <w:name w:val="*ExcerptTitle"/>
    <w:basedOn w:val="Normal"/>
    <w:link w:val="ExcerptTitleChar"/>
    <w:qFormat/>
    <w:rsid w:val="00B544FF"/>
    <w:pPr>
      <w:jc w:val="center"/>
    </w:pPr>
    <w:rPr>
      <w:rFonts w:asciiTheme="majorHAnsi" w:hAnsiTheme="majorHAnsi"/>
      <w:b/>
      <w:smallCaps/>
      <w:sz w:val="32"/>
    </w:rPr>
  </w:style>
  <w:style w:type="character" w:customStyle="1" w:styleId="ExcerptTitleChar">
    <w:name w:val="*ExcerptTitle Char"/>
    <w:basedOn w:val="DefaultParagraphFont"/>
    <w:link w:val="ExcerptTitle"/>
    <w:rsid w:val="00B544FF"/>
    <w:rPr>
      <w:rFonts w:asciiTheme="majorHAnsi" w:eastAsia="Calibri" w:hAnsiTheme="majorHAnsi" w:cs="Times New Roman"/>
      <w:b/>
      <w:smallCaps/>
      <w:sz w:val="32"/>
      <w:lang w:val="en-US" w:eastAsia="en-US"/>
    </w:rPr>
  </w:style>
  <w:style w:type="paragraph" w:customStyle="1" w:styleId="FooterText">
    <w:name w:val="*FooterText"/>
    <w:link w:val="FooterTextChar"/>
    <w:qFormat/>
    <w:rsid w:val="00B544FF"/>
    <w:pPr>
      <w:spacing w:after="0" w:line="200" w:lineRule="exact"/>
    </w:pPr>
    <w:rPr>
      <w:rFonts w:ascii="Calibri" w:eastAsia="Verdana" w:hAnsi="Calibri" w:cs="Calibri"/>
      <w:b/>
      <w:color w:val="595959"/>
      <w:sz w:val="14"/>
      <w:lang w:val="en-US" w:eastAsia="en-US"/>
    </w:rPr>
  </w:style>
  <w:style w:type="character" w:customStyle="1" w:styleId="FooterTextChar">
    <w:name w:val="FooterText Char"/>
    <w:basedOn w:val="folioChar"/>
    <w:link w:val="FooterText"/>
    <w:rsid w:val="00B544FF"/>
    <w:rPr>
      <w:rFonts w:ascii="Calibri" w:eastAsia="Verdana" w:hAnsi="Calibri" w:cs="Calibri"/>
      <w:b/>
      <w:color w:val="595959"/>
      <w:sz w:val="14"/>
      <w:lang w:val="en-US" w:eastAsia="en-US"/>
    </w:rPr>
  </w:style>
  <w:style w:type="paragraph" w:customStyle="1" w:styleId="IN">
    <w:name w:val="*IN*"/>
    <w:link w:val="INChar"/>
    <w:qFormat/>
    <w:rsid w:val="00B544FF"/>
    <w:pPr>
      <w:numPr>
        <w:numId w:val="19"/>
      </w:numPr>
      <w:spacing w:before="120" w:after="60" w:line="276" w:lineRule="auto"/>
    </w:pPr>
    <w:rPr>
      <w:rFonts w:ascii="Calibri" w:eastAsia="Calibri" w:hAnsi="Calibri" w:cs="Times New Roman"/>
      <w:color w:val="4F81BD" w:themeColor="accent1"/>
      <w:lang w:val="en-US" w:eastAsia="en-US"/>
    </w:rPr>
  </w:style>
  <w:style w:type="character" w:customStyle="1" w:styleId="INChar">
    <w:name w:val="*IN* Char"/>
    <w:basedOn w:val="DefaultParagraphFont"/>
    <w:link w:val="IN"/>
    <w:rsid w:val="00B544FF"/>
    <w:rPr>
      <w:rFonts w:ascii="Calibri" w:eastAsia="Calibri" w:hAnsi="Calibri" w:cs="Times New Roman"/>
      <w:color w:val="4F81BD" w:themeColor="accent1"/>
      <w:lang w:val="en-US" w:eastAsia="en-US"/>
    </w:rPr>
  </w:style>
  <w:style w:type="paragraph" w:customStyle="1" w:styleId="INBullet">
    <w:name w:val="*IN* Bullet"/>
    <w:link w:val="INBulletChar"/>
    <w:qFormat/>
    <w:rsid w:val="00B544FF"/>
    <w:pPr>
      <w:numPr>
        <w:numId w:val="20"/>
      </w:numPr>
      <w:spacing w:after="60" w:line="276" w:lineRule="auto"/>
    </w:pPr>
    <w:rPr>
      <w:rFonts w:ascii="Calibri" w:eastAsia="Calibri" w:hAnsi="Calibri" w:cs="Times New Roman"/>
      <w:color w:val="4F81BD" w:themeColor="accent1"/>
      <w:lang w:val="en-US" w:eastAsia="en-US"/>
    </w:rPr>
  </w:style>
  <w:style w:type="character" w:customStyle="1" w:styleId="INBulletChar">
    <w:name w:val="*IN* Bullet Char"/>
    <w:basedOn w:val="BulletedListChar"/>
    <w:link w:val="INBullet"/>
    <w:rsid w:val="00B544FF"/>
    <w:rPr>
      <w:rFonts w:ascii="Calibri" w:eastAsia="Calibri" w:hAnsi="Calibri" w:cs="Times New Roman"/>
      <w:color w:val="4F81BD" w:themeColor="accent1"/>
      <w:lang w:val="en-US" w:eastAsia="en-US"/>
    </w:rPr>
  </w:style>
  <w:style w:type="paragraph" w:customStyle="1" w:styleId="LearningSequenceHeader">
    <w:name w:val="*Learning Sequence Header"/>
    <w:next w:val="TA"/>
    <w:link w:val="LearningSequenceHeaderChar"/>
    <w:qFormat/>
    <w:rsid w:val="00B544FF"/>
    <w:pPr>
      <w:pBdr>
        <w:bottom w:val="single" w:sz="12" w:space="1" w:color="9BBB59" w:themeColor="accent3"/>
      </w:pBdr>
      <w:tabs>
        <w:tab w:val="right" w:pos="9360"/>
      </w:tabs>
      <w:spacing w:before="480" w:after="0" w:line="240" w:lineRule="auto"/>
    </w:pPr>
    <w:rPr>
      <w:rFonts w:ascii="Cambria" w:eastAsia="Calibri" w:hAnsi="Cambria" w:cs="Times New Roman"/>
      <w:b/>
      <w:bCs/>
      <w:color w:val="4F81BD"/>
      <w:sz w:val="28"/>
      <w:szCs w:val="26"/>
      <w:lang w:val="en-US" w:eastAsia="en-US"/>
    </w:rPr>
  </w:style>
  <w:style w:type="character" w:customStyle="1" w:styleId="LearningSequenceHeaderChar">
    <w:name w:val="*Learning Sequence Header Char"/>
    <w:basedOn w:val="Heading2Char"/>
    <w:link w:val="LearningSequenceHeader"/>
    <w:rsid w:val="00B544FF"/>
    <w:rPr>
      <w:rFonts w:ascii="Cambria" w:eastAsia="Calibri" w:hAnsi="Cambria" w:cs="Times New Roman"/>
      <w:b/>
      <w:bCs/>
      <w:i w:val="0"/>
      <w:color w:val="4F81BD"/>
      <w:sz w:val="28"/>
      <w:szCs w:val="26"/>
      <w:lang w:val="en-US" w:eastAsia="en-US"/>
    </w:rPr>
  </w:style>
  <w:style w:type="paragraph" w:customStyle="1" w:styleId="NumberedList">
    <w:name w:val="*Numbered List"/>
    <w:link w:val="NumberedListChar"/>
    <w:qFormat/>
    <w:rsid w:val="00B544FF"/>
    <w:pPr>
      <w:numPr>
        <w:numId w:val="21"/>
      </w:numPr>
      <w:spacing w:after="60" w:line="240" w:lineRule="auto"/>
    </w:pPr>
    <w:rPr>
      <w:rFonts w:ascii="Calibri" w:eastAsia="Calibri" w:hAnsi="Calibri" w:cs="Times New Roman"/>
      <w:lang w:val="en-US" w:eastAsia="en-US"/>
    </w:rPr>
  </w:style>
  <w:style w:type="character" w:customStyle="1" w:styleId="NumberedListChar">
    <w:name w:val="*Numbered List Char"/>
    <w:basedOn w:val="BulletedListChar"/>
    <w:link w:val="NumberedList"/>
    <w:rsid w:val="00B544FF"/>
    <w:rPr>
      <w:rFonts w:ascii="Calibri" w:eastAsia="Calibri" w:hAnsi="Calibri" w:cs="Times New Roman"/>
      <w:lang w:val="en-US" w:eastAsia="en-US"/>
    </w:rPr>
  </w:style>
  <w:style w:type="paragraph" w:customStyle="1" w:styleId="PageHeader">
    <w:name w:val="*PageHeader"/>
    <w:link w:val="PageHeaderChar"/>
    <w:qFormat/>
    <w:rsid w:val="00B544FF"/>
    <w:pPr>
      <w:spacing w:before="120" w:after="0" w:line="240" w:lineRule="auto"/>
    </w:pPr>
    <w:rPr>
      <w:rFonts w:ascii="Calibri" w:eastAsia="Calibri" w:hAnsi="Calibri" w:cs="Times New Roman"/>
      <w:b/>
      <w:sz w:val="18"/>
      <w:lang w:val="en-US" w:eastAsia="en-US"/>
    </w:rPr>
  </w:style>
  <w:style w:type="character" w:customStyle="1" w:styleId="PageHeaderChar">
    <w:name w:val="*PageHeader Char"/>
    <w:basedOn w:val="BodyTextChar"/>
    <w:link w:val="PageHeader"/>
    <w:rsid w:val="00B544FF"/>
    <w:rPr>
      <w:rFonts w:ascii="Calibri" w:eastAsia="Calibri" w:hAnsi="Calibri" w:cs="Times New Roman"/>
      <w:b/>
      <w:sz w:val="18"/>
      <w:lang w:val="en-US" w:eastAsia="en-US"/>
    </w:rPr>
  </w:style>
  <w:style w:type="paragraph" w:customStyle="1" w:styleId="Q">
    <w:name w:val="*Q*"/>
    <w:link w:val="QChar"/>
    <w:qFormat/>
    <w:rsid w:val="00B544FF"/>
    <w:pPr>
      <w:spacing w:before="240" w:after="0" w:line="276" w:lineRule="auto"/>
    </w:pPr>
    <w:rPr>
      <w:rFonts w:ascii="Calibri" w:eastAsia="Calibri" w:hAnsi="Calibri" w:cs="Times New Roman"/>
      <w:b/>
      <w:lang w:val="en-US" w:eastAsia="en-US"/>
    </w:rPr>
  </w:style>
  <w:style w:type="character" w:customStyle="1" w:styleId="QChar">
    <w:name w:val="*Q* Char"/>
    <w:basedOn w:val="ListParagraphChar"/>
    <w:link w:val="Q"/>
    <w:rsid w:val="00B544FF"/>
    <w:rPr>
      <w:rFonts w:ascii="Calibri" w:eastAsia="Calibri" w:hAnsi="Calibri" w:cs="Times New Roman"/>
      <w:b/>
      <w:lang w:val="en-US" w:eastAsia="en-US"/>
    </w:rPr>
  </w:style>
  <w:style w:type="paragraph" w:customStyle="1" w:styleId="SA">
    <w:name w:val="*SA*"/>
    <w:link w:val="SAChar"/>
    <w:qFormat/>
    <w:rsid w:val="00B544FF"/>
    <w:pPr>
      <w:numPr>
        <w:numId w:val="22"/>
      </w:numPr>
      <w:spacing w:before="120" w:after="0" w:line="276" w:lineRule="auto"/>
    </w:pPr>
    <w:rPr>
      <w:rFonts w:ascii="Calibri" w:eastAsia="Calibri" w:hAnsi="Calibri" w:cs="Times New Roman"/>
      <w:lang w:val="en-US" w:eastAsia="en-US"/>
    </w:rPr>
  </w:style>
  <w:style w:type="character" w:customStyle="1" w:styleId="SAChar">
    <w:name w:val="*SA* Char"/>
    <w:basedOn w:val="ListParagraphChar"/>
    <w:link w:val="SA"/>
    <w:rsid w:val="00B544FF"/>
    <w:rPr>
      <w:rFonts w:ascii="Calibri" w:eastAsia="Calibri" w:hAnsi="Calibri" w:cs="Times New Roman"/>
      <w:lang w:val="en-US" w:eastAsia="en-US"/>
    </w:rPr>
  </w:style>
  <w:style w:type="paragraph" w:customStyle="1" w:styleId="SASRBullet">
    <w:name w:val="*SA/SR Bullet"/>
    <w:basedOn w:val="Normal"/>
    <w:link w:val="SASRBulletChar"/>
    <w:qFormat/>
    <w:rsid w:val="00B544FF"/>
    <w:pPr>
      <w:numPr>
        <w:ilvl w:val="1"/>
        <w:numId w:val="23"/>
      </w:numPr>
      <w:spacing w:before="120"/>
      <w:contextualSpacing/>
    </w:pPr>
  </w:style>
  <w:style w:type="character" w:customStyle="1" w:styleId="SASRBulletChar">
    <w:name w:val="*SA/SR Bullet Char"/>
    <w:basedOn w:val="DefaultParagraphFont"/>
    <w:link w:val="SASRBullet"/>
    <w:rsid w:val="00B544FF"/>
    <w:rPr>
      <w:rFonts w:ascii="Calibri" w:eastAsia="Calibri" w:hAnsi="Calibri" w:cs="Times New Roman"/>
      <w:lang w:val="en-US" w:eastAsia="en-US"/>
    </w:rPr>
  </w:style>
  <w:style w:type="paragraph" w:customStyle="1" w:styleId="SR">
    <w:name w:val="*SR*"/>
    <w:link w:val="SRChar"/>
    <w:qFormat/>
    <w:rsid w:val="00B544FF"/>
    <w:pPr>
      <w:numPr>
        <w:numId w:val="24"/>
      </w:numPr>
      <w:spacing w:before="120" w:after="0" w:line="276" w:lineRule="auto"/>
    </w:pPr>
    <w:rPr>
      <w:rFonts w:ascii="Calibri" w:eastAsia="Calibri" w:hAnsi="Calibri" w:cs="Times New Roman"/>
      <w:lang w:val="en-US" w:eastAsia="en-US"/>
    </w:rPr>
  </w:style>
  <w:style w:type="character" w:customStyle="1" w:styleId="SRChar">
    <w:name w:val="*SR* Char"/>
    <w:basedOn w:val="ListParagraphChar"/>
    <w:link w:val="SR"/>
    <w:rsid w:val="00B544FF"/>
    <w:rPr>
      <w:rFonts w:ascii="Calibri" w:eastAsia="Calibri" w:hAnsi="Calibri" w:cs="Times New Roman"/>
      <w:lang w:val="en-US" w:eastAsia="en-US"/>
    </w:rPr>
  </w:style>
  <w:style w:type="paragraph" w:customStyle="1" w:styleId="TA">
    <w:name w:val="*TA*"/>
    <w:link w:val="TAChar"/>
    <w:qFormat/>
    <w:rsid w:val="00B544FF"/>
    <w:pPr>
      <w:spacing w:before="180" w:after="180" w:line="240" w:lineRule="auto"/>
    </w:pPr>
    <w:rPr>
      <w:rFonts w:ascii="Calibri" w:eastAsia="Calibri" w:hAnsi="Calibri" w:cs="Times New Roman"/>
      <w:lang w:val="en-US" w:eastAsia="en-US"/>
    </w:rPr>
  </w:style>
  <w:style w:type="character" w:customStyle="1" w:styleId="TAChar">
    <w:name w:val="*TA* Char"/>
    <w:basedOn w:val="DefaultParagraphFont"/>
    <w:link w:val="TA"/>
    <w:rsid w:val="00B544FF"/>
    <w:rPr>
      <w:rFonts w:ascii="Calibri" w:eastAsia="Calibri" w:hAnsi="Calibri" w:cs="Times New Roman"/>
      <w:lang w:val="en-US" w:eastAsia="en-US"/>
    </w:rPr>
  </w:style>
  <w:style w:type="paragraph" w:customStyle="1" w:styleId="TableHeaders">
    <w:name w:val="*TableHeaders"/>
    <w:basedOn w:val="Normal"/>
    <w:link w:val="TableHeadersChar"/>
    <w:qFormat/>
    <w:rsid w:val="00B544FF"/>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B544FF"/>
    <w:rPr>
      <w:rFonts w:ascii="Calibri" w:eastAsia="Calibri" w:hAnsi="Calibri" w:cs="Times New Roman"/>
      <w:b/>
      <w:color w:val="FFFFFF" w:themeColor="background1"/>
      <w:lang w:val="en-US" w:eastAsia="en-US"/>
    </w:rPr>
  </w:style>
  <w:style w:type="paragraph" w:customStyle="1" w:styleId="TableText">
    <w:name w:val="*TableText"/>
    <w:link w:val="TableTextChar"/>
    <w:qFormat/>
    <w:rsid w:val="00B544FF"/>
    <w:pPr>
      <w:spacing w:before="40" w:after="40" w:line="276" w:lineRule="auto"/>
    </w:pPr>
    <w:rPr>
      <w:rFonts w:ascii="Calibri" w:eastAsia="Calibri" w:hAnsi="Calibri" w:cs="Times New Roman"/>
      <w:lang w:val="en-US" w:eastAsia="en-US"/>
    </w:rPr>
  </w:style>
  <w:style w:type="character" w:customStyle="1" w:styleId="TableTextChar">
    <w:name w:val="*TableText Char"/>
    <w:basedOn w:val="DefaultParagraphFont"/>
    <w:link w:val="TableText"/>
    <w:rsid w:val="00B544FF"/>
    <w:rPr>
      <w:rFonts w:ascii="Calibri" w:eastAsia="Calibri" w:hAnsi="Calibri" w:cs="Times New Roman"/>
      <w:lang w:val="en-US" w:eastAsia="en-US"/>
    </w:rPr>
  </w:style>
  <w:style w:type="paragraph" w:customStyle="1" w:styleId="ToolHeader">
    <w:name w:val="*ToolHeader"/>
    <w:qFormat/>
    <w:rsid w:val="00B544FF"/>
    <w:pPr>
      <w:spacing w:after="120" w:line="240" w:lineRule="auto"/>
    </w:pPr>
    <w:rPr>
      <w:rFonts w:eastAsia="Calibri" w:cs="Times New Roman"/>
      <w:b/>
      <w:bCs/>
      <w:color w:val="365F91"/>
      <w:sz w:val="32"/>
      <w:szCs w:val="28"/>
      <w:lang w:val="en-US" w:eastAsia="en-US"/>
    </w:rPr>
  </w:style>
  <w:style w:type="paragraph" w:customStyle="1" w:styleId="ToolTableText">
    <w:name w:val="*ToolTableText"/>
    <w:qFormat/>
    <w:rsid w:val="00B544FF"/>
    <w:pPr>
      <w:spacing w:before="40" w:after="120" w:line="240" w:lineRule="auto"/>
    </w:pPr>
    <w:rPr>
      <w:rFonts w:ascii="Calibri" w:eastAsia="Calibri" w:hAnsi="Calibri" w:cs="Times New Roman"/>
      <w:lang w:val="en-US" w:eastAsia="en-US"/>
    </w:rPr>
  </w:style>
  <w:style w:type="character" w:customStyle="1" w:styleId="apple-converted-space">
    <w:name w:val="apple-converted-space"/>
    <w:rsid w:val="00B544FF"/>
  </w:style>
  <w:style w:type="paragraph" w:styleId="BalloonText">
    <w:name w:val="Balloon Text"/>
    <w:basedOn w:val="Normal"/>
    <w:link w:val="BalloonTextChar"/>
    <w:uiPriority w:val="99"/>
    <w:semiHidden/>
    <w:unhideWhenUsed/>
    <w:rsid w:val="00B544FF"/>
    <w:rPr>
      <w:rFonts w:ascii="Tahoma" w:hAnsi="Tahoma"/>
      <w:sz w:val="16"/>
      <w:szCs w:val="16"/>
    </w:rPr>
  </w:style>
  <w:style w:type="character" w:customStyle="1" w:styleId="BalloonTextChar">
    <w:name w:val="Balloon Text Char"/>
    <w:link w:val="BalloonText"/>
    <w:uiPriority w:val="99"/>
    <w:semiHidden/>
    <w:rsid w:val="00B544FF"/>
    <w:rPr>
      <w:rFonts w:ascii="Tahoma" w:eastAsia="Calibri" w:hAnsi="Tahoma" w:cs="Times New Roman"/>
      <w:sz w:val="16"/>
      <w:szCs w:val="16"/>
      <w:lang w:val="en-US" w:eastAsia="en-US"/>
    </w:rPr>
  </w:style>
  <w:style w:type="paragraph" w:styleId="BodyText">
    <w:name w:val="Body Text"/>
    <w:basedOn w:val="Normal"/>
    <w:link w:val="BodyTextChar"/>
    <w:rsid w:val="00B544FF"/>
    <w:pPr>
      <w:spacing w:after="120"/>
    </w:pPr>
  </w:style>
  <w:style w:type="character" w:customStyle="1" w:styleId="BodyTextChar">
    <w:name w:val="Body Text Char"/>
    <w:link w:val="BodyText"/>
    <w:rsid w:val="00B544FF"/>
    <w:rPr>
      <w:rFonts w:ascii="Calibri" w:eastAsia="Calibri" w:hAnsi="Calibri" w:cs="Times New Roman"/>
      <w:lang w:val="en-US" w:eastAsia="en-US"/>
    </w:rPr>
  </w:style>
  <w:style w:type="paragraph" w:customStyle="1" w:styleId="ColorfulList-Accent11">
    <w:name w:val="Colorful List - Accent 11"/>
    <w:basedOn w:val="Normal"/>
    <w:uiPriority w:val="34"/>
    <w:rsid w:val="00B544FF"/>
    <w:pPr>
      <w:ind w:left="720"/>
      <w:contextualSpacing/>
    </w:pPr>
  </w:style>
  <w:style w:type="character" w:styleId="CommentReference">
    <w:name w:val="annotation reference"/>
    <w:uiPriority w:val="99"/>
    <w:semiHidden/>
    <w:unhideWhenUsed/>
    <w:rsid w:val="00B544FF"/>
    <w:rPr>
      <w:sz w:val="16"/>
      <w:szCs w:val="16"/>
    </w:rPr>
  </w:style>
  <w:style w:type="paragraph" w:styleId="CommentText">
    <w:name w:val="annotation text"/>
    <w:basedOn w:val="Normal"/>
    <w:link w:val="CommentTextChar"/>
    <w:uiPriority w:val="99"/>
    <w:unhideWhenUsed/>
    <w:rsid w:val="00B544FF"/>
    <w:rPr>
      <w:sz w:val="20"/>
    </w:rPr>
  </w:style>
  <w:style w:type="character" w:customStyle="1" w:styleId="CommentTextChar">
    <w:name w:val="Comment Text Char"/>
    <w:link w:val="CommentText"/>
    <w:uiPriority w:val="99"/>
    <w:rsid w:val="00B544FF"/>
    <w:rPr>
      <w:rFonts w:ascii="Calibri" w:eastAsia="Calibri" w:hAnsi="Calibri" w:cs="Times New Roman"/>
      <w:sz w:val="20"/>
      <w:lang w:val="en-US" w:eastAsia="en-US"/>
    </w:rPr>
  </w:style>
  <w:style w:type="paragraph" w:styleId="CommentSubject">
    <w:name w:val="annotation subject"/>
    <w:basedOn w:val="CommentText"/>
    <w:next w:val="CommentText"/>
    <w:link w:val="CommentSubjectChar"/>
    <w:uiPriority w:val="99"/>
    <w:semiHidden/>
    <w:unhideWhenUsed/>
    <w:rsid w:val="00B544FF"/>
    <w:rPr>
      <w:b/>
      <w:bCs/>
    </w:rPr>
  </w:style>
  <w:style w:type="character" w:customStyle="1" w:styleId="CommentSubjectChar">
    <w:name w:val="Comment Subject Char"/>
    <w:link w:val="CommentSubject"/>
    <w:uiPriority w:val="99"/>
    <w:semiHidden/>
    <w:rsid w:val="00B544FF"/>
    <w:rPr>
      <w:rFonts w:ascii="Calibri" w:eastAsia="Calibri" w:hAnsi="Calibri" w:cs="Times New Roman"/>
      <w:b/>
      <w:bCs/>
      <w:sz w:val="20"/>
      <w:lang w:val="en-US" w:eastAsia="en-US"/>
    </w:rPr>
  </w:style>
  <w:style w:type="paragraph" w:customStyle="1" w:styleId="folio">
    <w:name w:val="folio"/>
    <w:basedOn w:val="Normal"/>
    <w:link w:val="folioChar"/>
    <w:rsid w:val="00B544FF"/>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544FF"/>
    <w:rPr>
      <w:rFonts w:ascii="Verdana" w:eastAsia="Verdana" w:hAnsi="Verdana" w:cs="Verdana"/>
      <w:color w:val="595959"/>
      <w:sz w:val="16"/>
      <w:lang w:val="en-US" w:eastAsia="en-US"/>
    </w:rPr>
  </w:style>
  <w:style w:type="character" w:styleId="FollowedHyperlink">
    <w:name w:val="FollowedHyperlink"/>
    <w:uiPriority w:val="99"/>
    <w:semiHidden/>
    <w:unhideWhenUsed/>
    <w:rsid w:val="00B544FF"/>
    <w:rPr>
      <w:color w:val="954F72"/>
      <w:u w:val="single"/>
    </w:rPr>
  </w:style>
  <w:style w:type="character" w:styleId="FootnoteReference">
    <w:name w:val="footnote reference"/>
    <w:basedOn w:val="DefaultParagraphFont"/>
    <w:uiPriority w:val="99"/>
    <w:semiHidden/>
    <w:unhideWhenUsed/>
    <w:rsid w:val="00B544FF"/>
    <w:rPr>
      <w:vertAlign w:val="superscript"/>
    </w:rPr>
  </w:style>
  <w:style w:type="paragraph" w:styleId="FootnoteText">
    <w:name w:val="footnote text"/>
    <w:basedOn w:val="Normal"/>
    <w:link w:val="FootnoteTextChar"/>
    <w:uiPriority w:val="99"/>
    <w:semiHidden/>
    <w:unhideWhenUsed/>
    <w:rsid w:val="00B544FF"/>
    <w:rPr>
      <w:sz w:val="20"/>
    </w:rPr>
  </w:style>
  <w:style w:type="character" w:customStyle="1" w:styleId="FootnoteTextChar">
    <w:name w:val="Footnote Text Char"/>
    <w:basedOn w:val="DefaultParagraphFont"/>
    <w:link w:val="FootnoteText"/>
    <w:uiPriority w:val="99"/>
    <w:semiHidden/>
    <w:rsid w:val="00B544FF"/>
    <w:rPr>
      <w:rFonts w:ascii="Calibri" w:eastAsia="Calibri" w:hAnsi="Calibri" w:cs="Times New Roman"/>
      <w:sz w:val="20"/>
      <w:lang w:val="en-US" w:eastAsia="en-US"/>
    </w:rPr>
  </w:style>
  <w:style w:type="paragraph" w:customStyle="1" w:styleId="Header-banner">
    <w:name w:val="Header-banner"/>
    <w:rsid w:val="00B544FF"/>
    <w:pPr>
      <w:spacing w:after="0" w:line="240" w:lineRule="auto"/>
      <w:ind w:left="43" w:right="43"/>
      <w:jc w:val="center"/>
    </w:pPr>
    <w:rPr>
      <w:rFonts w:ascii="Cambria" w:eastAsia="Calibri" w:hAnsi="Cambria" w:cs="Calibri"/>
      <w:b/>
      <w:bCs/>
      <w:caps/>
      <w:color w:val="FFFFFF"/>
      <w:sz w:val="44"/>
      <w:lang w:val="en-US" w:eastAsia="en-US"/>
    </w:rPr>
  </w:style>
  <w:style w:type="paragraph" w:customStyle="1" w:styleId="Header2banner">
    <w:name w:val="Header2_banner"/>
    <w:basedOn w:val="Header-banner"/>
    <w:rsid w:val="00B544FF"/>
    <w:pPr>
      <w:spacing w:line="440" w:lineRule="exact"/>
      <w:jc w:val="left"/>
    </w:pPr>
    <w:rPr>
      <w:caps w:val="0"/>
    </w:rPr>
  </w:style>
  <w:style w:type="character" w:customStyle="1" w:styleId="Heading1Char">
    <w:name w:val="Heading 1 Char"/>
    <w:aliases w:val="*Headers Char"/>
    <w:link w:val="Heading1"/>
    <w:uiPriority w:val="9"/>
    <w:rsid w:val="00B544FF"/>
    <w:rPr>
      <w:rFonts w:eastAsia="Calibri" w:cs="Times New Roman"/>
      <w:b/>
      <w:bCs/>
      <w:color w:val="365F91"/>
      <w:sz w:val="32"/>
      <w:szCs w:val="28"/>
      <w:lang w:val="en-US" w:eastAsia="en-US"/>
    </w:rPr>
  </w:style>
  <w:style w:type="character" w:customStyle="1" w:styleId="Heading2Char">
    <w:name w:val="Heading 2 Char"/>
    <w:link w:val="Heading2"/>
    <w:uiPriority w:val="9"/>
    <w:rsid w:val="00B544FF"/>
    <w:rPr>
      <w:rFonts w:ascii="Cambria" w:eastAsia="Calibri" w:hAnsi="Cambria" w:cs="Times New Roman"/>
      <w:b/>
      <w:bCs/>
      <w:i/>
      <w:color w:val="4F81BD"/>
      <w:sz w:val="26"/>
      <w:szCs w:val="26"/>
      <w:lang w:val="en-US" w:eastAsia="en-US"/>
    </w:rPr>
  </w:style>
  <w:style w:type="character" w:customStyle="1" w:styleId="Heading3Char">
    <w:name w:val="Heading 3 Char"/>
    <w:link w:val="Heading3"/>
    <w:uiPriority w:val="9"/>
    <w:rsid w:val="00B544FF"/>
    <w:rPr>
      <w:rFonts w:ascii="Cambria" w:eastAsia="Calibri" w:hAnsi="Cambria" w:cs="Times New Roman"/>
      <w:b/>
      <w:bCs/>
      <w:i/>
      <w:color w:val="7F7F7F"/>
      <w:sz w:val="20"/>
      <w:lang w:val="en-US" w:eastAsia="en-US"/>
    </w:rPr>
  </w:style>
  <w:style w:type="character" w:styleId="Hyperlink">
    <w:name w:val="Hyperlink"/>
    <w:uiPriority w:val="99"/>
    <w:unhideWhenUsed/>
    <w:rsid w:val="00B544FF"/>
    <w:rPr>
      <w:color w:val="0000FF"/>
      <w:u w:val="single"/>
    </w:rPr>
  </w:style>
  <w:style w:type="paragraph" w:styleId="ListParagraph">
    <w:name w:val="List Paragraph"/>
    <w:basedOn w:val="Normal"/>
    <w:link w:val="ListParagraphChar"/>
    <w:uiPriority w:val="34"/>
    <w:rsid w:val="00B544FF"/>
    <w:pPr>
      <w:ind w:left="720"/>
      <w:contextualSpacing/>
    </w:pPr>
  </w:style>
  <w:style w:type="character" w:customStyle="1" w:styleId="ListParagraphChar">
    <w:name w:val="List Paragraph Char"/>
    <w:basedOn w:val="DefaultParagraphFont"/>
    <w:link w:val="ListParagraph"/>
    <w:uiPriority w:val="34"/>
    <w:rsid w:val="00B544FF"/>
    <w:rPr>
      <w:rFonts w:ascii="Calibri" w:eastAsia="Calibri" w:hAnsi="Calibri" w:cs="Times New Roman"/>
      <w:lang w:val="en-US" w:eastAsia="en-US"/>
    </w:rPr>
  </w:style>
  <w:style w:type="paragraph" w:customStyle="1" w:styleId="MediumGrid1-Accent21">
    <w:name w:val="Medium Grid 1 - Accent 21"/>
    <w:basedOn w:val="Normal"/>
    <w:uiPriority w:val="34"/>
    <w:rsid w:val="00B544FF"/>
    <w:pPr>
      <w:ind w:left="720"/>
      <w:contextualSpacing/>
    </w:pPr>
  </w:style>
  <w:style w:type="paragraph" w:customStyle="1" w:styleId="MediumList2-Accent41">
    <w:name w:val="Medium List 2 - Accent 41"/>
    <w:basedOn w:val="Normal"/>
    <w:link w:val="MediumList2-Accent41Char"/>
    <w:uiPriority w:val="34"/>
    <w:rsid w:val="00B544FF"/>
    <w:pPr>
      <w:spacing w:after="200"/>
      <w:ind w:left="720"/>
      <w:contextualSpacing/>
    </w:pPr>
  </w:style>
  <w:style w:type="character" w:customStyle="1" w:styleId="MediumList2-Accent41Char">
    <w:name w:val="Medium List 2 - Accent 41 Char"/>
    <w:basedOn w:val="DefaultParagraphFont"/>
    <w:link w:val="MediumList2-Accent41"/>
    <w:uiPriority w:val="34"/>
    <w:rsid w:val="00B544FF"/>
    <w:rPr>
      <w:rFonts w:ascii="Calibri" w:eastAsia="Calibri" w:hAnsi="Calibri" w:cs="Times New Roman"/>
      <w:lang w:val="en-US" w:eastAsia="en-US"/>
    </w:rPr>
  </w:style>
  <w:style w:type="paragraph" w:customStyle="1" w:styleId="NoSpacing1">
    <w:name w:val="No Spacing1"/>
    <w:link w:val="NoSpacingChar"/>
    <w:rsid w:val="00B544FF"/>
    <w:pPr>
      <w:spacing w:after="0" w:line="240" w:lineRule="auto"/>
    </w:pPr>
    <w:rPr>
      <w:rFonts w:ascii="Tahoma" w:eastAsia="Calibri" w:hAnsi="Tahoma" w:cs="Times New Roman"/>
      <w:sz w:val="19"/>
      <w:lang w:val="en-US" w:eastAsia="en-US"/>
    </w:rPr>
  </w:style>
  <w:style w:type="character" w:customStyle="1" w:styleId="NoSpacingChar">
    <w:name w:val="No Spacing Char"/>
    <w:link w:val="NoSpacing1"/>
    <w:rsid w:val="00B544FF"/>
    <w:rPr>
      <w:rFonts w:ascii="Tahoma" w:eastAsia="Calibri" w:hAnsi="Tahoma" w:cs="Times New Roman"/>
      <w:sz w:val="19"/>
      <w:lang w:val="en-US" w:eastAsia="en-US"/>
    </w:rPr>
  </w:style>
  <w:style w:type="paragraph" w:styleId="NormalWeb">
    <w:name w:val="Normal (Web)"/>
    <w:basedOn w:val="Normal"/>
    <w:uiPriority w:val="99"/>
    <w:unhideWhenUsed/>
    <w:rsid w:val="00B544FF"/>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B544FF"/>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544FF"/>
    <w:rPr>
      <w:rFonts w:cs="Times New Roman"/>
    </w:rPr>
  </w:style>
  <w:style w:type="character" w:customStyle="1" w:styleId="reference-text">
    <w:name w:val="reference-text"/>
    <w:rsid w:val="00B544FF"/>
  </w:style>
  <w:style w:type="table" w:styleId="TableGrid">
    <w:name w:val="Table Grid"/>
    <w:basedOn w:val="TableNormal"/>
    <w:uiPriority w:val="59"/>
    <w:rsid w:val="00B544FF"/>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B544FF"/>
    <w:rPr>
      <w:rFonts w:ascii="Cambria" w:eastAsia="Calibri" w:hAnsi="Cambria" w:cs="Times New Roman"/>
      <w:color w:val="17365D"/>
      <w:spacing w:val="5"/>
      <w:kern w:val="28"/>
      <w:sz w:val="52"/>
      <w:szCs w:val="52"/>
      <w:lang w:val="en-US" w:eastAsia="en-US"/>
    </w:rPr>
  </w:style>
  <w:style w:type="paragraph" w:customStyle="1" w:styleId="Heading1nospace">
    <w:name w:val="Heading 1 no space"/>
    <w:basedOn w:val="Heading1"/>
    <w:qFormat/>
    <w:rsid w:val="00B86216"/>
    <w:pPr>
      <w:keepLines w:val="0"/>
      <w:spacing w:before="0" w:after="60" w:line="460" w:lineRule="exact"/>
      <w:jc w:val="center"/>
    </w:pPr>
    <w:rPr>
      <w:rFonts w:asciiTheme="majorHAnsi" w:eastAsia="Cambria" w:hAnsiTheme="majorHAnsi" w:cs="Cambria"/>
      <w:color w:val="244061" w:themeColor="accent1" w:themeShade="80"/>
      <w:sz w:val="40"/>
      <w:szCs w:val="36"/>
    </w:rPr>
  </w:style>
  <w:style w:type="paragraph" w:customStyle="1" w:styleId="Stylea">
    <w:name w:val="Style a"/>
    <w:aliases w:val="b,c"/>
    <w:basedOn w:val="ListParagraph"/>
    <w:link w:val="StyleaChar"/>
    <w:qFormat/>
    <w:rsid w:val="004143B6"/>
    <w:pPr>
      <w:numPr>
        <w:numId w:val="29"/>
      </w:numPr>
      <w:spacing w:after="60"/>
      <w:ind w:left="360"/>
    </w:pPr>
  </w:style>
  <w:style w:type="character" w:customStyle="1" w:styleId="StyleaChar">
    <w:name w:val="Style a Char"/>
    <w:aliases w:val="b Char,c Char"/>
    <w:basedOn w:val="ListParagraphChar"/>
    <w:link w:val="Stylea"/>
    <w:rsid w:val="004143B6"/>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47072">
      <w:bodyDiv w:val="1"/>
      <w:marLeft w:val="0"/>
      <w:marRight w:val="0"/>
      <w:marTop w:val="0"/>
      <w:marBottom w:val="0"/>
      <w:divBdr>
        <w:top w:val="none" w:sz="0" w:space="0" w:color="auto"/>
        <w:left w:val="none" w:sz="0" w:space="0" w:color="auto"/>
        <w:bottom w:val="none" w:sz="0" w:space="0" w:color="auto"/>
        <w:right w:val="none" w:sz="0" w:space="0" w:color="auto"/>
      </w:divBdr>
      <w:divsChild>
        <w:div w:id="640771424">
          <w:marLeft w:val="0"/>
          <w:marRight w:val="0"/>
          <w:marTop w:val="0"/>
          <w:marBottom w:val="0"/>
          <w:divBdr>
            <w:top w:val="none" w:sz="0" w:space="0" w:color="auto"/>
            <w:left w:val="none" w:sz="0" w:space="0" w:color="auto"/>
            <w:bottom w:val="none" w:sz="0" w:space="0" w:color="auto"/>
            <w:right w:val="none" w:sz="0" w:space="0" w:color="auto"/>
          </w:divBdr>
          <w:divsChild>
            <w:div w:id="357390013">
              <w:marLeft w:val="0"/>
              <w:marRight w:val="0"/>
              <w:marTop w:val="0"/>
              <w:marBottom w:val="0"/>
              <w:divBdr>
                <w:top w:val="none" w:sz="0" w:space="0" w:color="auto"/>
                <w:left w:val="none" w:sz="0" w:space="0" w:color="auto"/>
                <w:bottom w:val="none" w:sz="0" w:space="0" w:color="auto"/>
                <w:right w:val="none" w:sz="0" w:space="0" w:color="auto"/>
              </w:divBdr>
              <w:divsChild>
                <w:div w:id="701251255">
                  <w:marLeft w:val="0"/>
                  <w:marRight w:val="0"/>
                  <w:marTop w:val="0"/>
                  <w:marBottom w:val="0"/>
                  <w:divBdr>
                    <w:top w:val="none" w:sz="0" w:space="0" w:color="auto"/>
                    <w:left w:val="none" w:sz="0" w:space="0" w:color="auto"/>
                    <w:bottom w:val="none" w:sz="0" w:space="0" w:color="auto"/>
                    <w:right w:val="none" w:sz="0" w:space="0" w:color="auto"/>
                  </w:divBdr>
                  <w:divsChild>
                    <w:div w:id="2076973352">
                      <w:marLeft w:val="0"/>
                      <w:marRight w:val="0"/>
                      <w:marTop w:val="0"/>
                      <w:marBottom w:val="0"/>
                      <w:divBdr>
                        <w:top w:val="none" w:sz="0" w:space="0" w:color="auto"/>
                        <w:left w:val="none" w:sz="0" w:space="0" w:color="auto"/>
                        <w:bottom w:val="none" w:sz="0" w:space="0" w:color="auto"/>
                        <w:right w:val="none" w:sz="0" w:space="0" w:color="auto"/>
                      </w:divBdr>
                      <w:divsChild>
                        <w:div w:id="884874495">
                          <w:marLeft w:val="0"/>
                          <w:marRight w:val="0"/>
                          <w:marTop w:val="15"/>
                          <w:marBottom w:val="0"/>
                          <w:divBdr>
                            <w:top w:val="none" w:sz="0" w:space="0" w:color="auto"/>
                            <w:left w:val="none" w:sz="0" w:space="0" w:color="auto"/>
                            <w:bottom w:val="none" w:sz="0" w:space="0" w:color="auto"/>
                            <w:right w:val="none" w:sz="0" w:space="0" w:color="auto"/>
                          </w:divBdr>
                          <w:divsChild>
                            <w:div w:id="1036153942">
                              <w:marLeft w:val="0"/>
                              <w:marRight w:val="0"/>
                              <w:marTop w:val="0"/>
                              <w:marBottom w:val="0"/>
                              <w:divBdr>
                                <w:top w:val="none" w:sz="0" w:space="0" w:color="auto"/>
                                <w:left w:val="none" w:sz="0" w:space="0" w:color="auto"/>
                                <w:bottom w:val="none" w:sz="0" w:space="0" w:color="auto"/>
                                <w:right w:val="none" w:sz="0" w:space="0" w:color="auto"/>
                              </w:divBdr>
                              <w:divsChild>
                                <w:div w:id="637077605">
                                  <w:marLeft w:val="0"/>
                                  <w:marRight w:val="0"/>
                                  <w:marTop w:val="0"/>
                                  <w:marBottom w:val="0"/>
                                  <w:divBdr>
                                    <w:top w:val="none" w:sz="0" w:space="0" w:color="auto"/>
                                    <w:left w:val="none" w:sz="0" w:space="0" w:color="auto"/>
                                    <w:bottom w:val="none" w:sz="0" w:space="0" w:color="auto"/>
                                    <w:right w:val="none" w:sz="0" w:space="0" w:color="auto"/>
                                  </w:divBdr>
                                </w:div>
                                <w:div w:id="1124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10.1.1 Unit Overview.docx</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 Unit Overview.docx</dc:title>
  <dc:creator>PCG Education</dc:creator>
  <cp:lastModifiedBy>Chmielewski, Elizabeth</cp:lastModifiedBy>
  <cp:revision>3</cp:revision>
  <cp:lastPrinted>2014-02-03T20:50:00Z</cp:lastPrinted>
  <dcterms:created xsi:type="dcterms:W3CDTF">2014-02-04T02:21:00Z</dcterms:created>
  <dcterms:modified xsi:type="dcterms:W3CDTF">2014-02-04T02:29:00Z</dcterms:modified>
</cp:coreProperties>
</file>