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732D97" w:rsidP="00B231AA">
            <w:pPr>
              <w:pStyle w:val="Header-banner"/>
              <w:rPr>
                <w:rFonts w:asciiTheme="minorHAnsi" w:hAnsiTheme="minorHAnsi"/>
              </w:rPr>
            </w:pPr>
            <w:bookmarkStart w:id="0" w:name="_GoBack"/>
            <w:bookmarkEnd w:id="0"/>
            <w:r>
              <w:rPr>
                <w:rFonts w:asciiTheme="minorHAnsi" w:hAnsiTheme="minorHAnsi"/>
              </w:rPr>
              <w:t>9.4</w:t>
            </w:r>
            <w:r w:rsidR="0011371C">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732D97">
              <w:rPr>
                <w:rFonts w:asciiTheme="minorHAnsi" w:hAnsiTheme="minorHAnsi"/>
              </w:rPr>
              <w:t>2</w:t>
            </w:r>
            <w:r w:rsidR="007771AE">
              <w:rPr>
                <w:rFonts w:asciiTheme="minorHAnsi" w:hAnsiTheme="minorHAnsi"/>
              </w:rPr>
              <w:t>2</w:t>
            </w:r>
          </w:p>
        </w:tc>
      </w:tr>
    </w:tbl>
    <w:p w:rsidR="005C4572" w:rsidRDefault="00C4787C" w:rsidP="00E946A0">
      <w:pPr>
        <w:pStyle w:val="Heading1"/>
      </w:pPr>
      <w:r w:rsidRPr="00263AF5">
        <w:t>Introduction</w:t>
      </w:r>
    </w:p>
    <w:p w:rsidR="000E1FF7" w:rsidRDefault="000E1FF7" w:rsidP="0011371C">
      <w:r>
        <w:t xml:space="preserve">In this lesson, students read and analyze </w:t>
      </w:r>
      <w:r w:rsidR="00510039">
        <w:t>“</w:t>
      </w:r>
      <w:r w:rsidR="00F60866">
        <w:t>Satyagraha” (pp. 121</w:t>
      </w:r>
      <w:r w:rsidR="00510039">
        <w:t>–</w:t>
      </w:r>
      <w:r w:rsidR="00F60866">
        <w:t xml:space="preserve">126), </w:t>
      </w:r>
      <w:r>
        <w:t xml:space="preserve">the concluding section </w:t>
      </w:r>
      <w:r w:rsidR="00F60866">
        <w:t xml:space="preserve">of </w:t>
      </w:r>
      <w:r w:rsidR="00F60866">
        <w:rPr>
          <w:i/>
        </w:rPr>
        <w:t>Sugar Changed the World</w:t>
      </w:r>
      <w:r>
        <w:rPr>
          <w:i/>
        </w:rPr>
        <w:t xml:space="preserve">. </w:t>
      </w:r>
      <w:r>
        <w:t>This lesson provides an opportunity for students to review and synthesize the development of central claims in</w:t>
      </w:r>
      <w:r>
        <w:rPr>
          <w:i/>
        </w:rPr>
        <w:t xml:space="preserve"> Sugar Changed the World</w:t>
      </w:r>
      <w:r w:rsidR="004E5044">
        <w:t xml:space="preserve">. Students </w:t>
      </w:r>
      <w:r>
        <w:t>consider how the a</w:t>
      </w:r>
      <w:r w:rsidR="00787A38">
        <w:t>uthors’ choice to conclude the</w:t>
      </w:r>
      <w:r>
        <w:t xml:space="preserve"> text with an exploration of Gandhi’s fight for Indian independence further develops and refines these central claims. </w:t>
      </w:r>
    </w:p>
    <w:p w:rsidR="000E1FF7" w:rsidRDefault="000E1FF7" w:rsidP="0011371C">
      <w:r>
        <w:t xml:space="preserve">Students </w:t>
      </w:r>
      <w:r w:rsidR="004E5044">
        <w:t>collaborate</w:t>
      </w:r>
      <w:r>
        <w:t xml:space="preserve"> in groups to trace </w:t>
      </w:r>
      <w:r w:rsidR="00B91FC7">
        <w:t xml:space="preserve">the </w:t>
      </w:r>
      <w:r>
        <w:t>auth</w:t>
      </w:r>
      <w:r w:rsidR="0011371C">
        <w:t>ors’ develop</w:t>
      </w:r>
      <w:r w:rsidR="006E1AD8">
        <w:t>ment of</w:t>
      </w:r>
      <w:r w:rsidR="0011371C">
        <w:t xml:space="preserve"> a central claim in</w:t>
      </w:r>
      <w:r>
        <w:t xml:space="preserve"> “Satyagraha.” Students continue their collaborati</w:t>
      </w:r>
      <w:r w:rsidR="00FE5FD6">
        <w:t>on</w:t>
      </w:r>
      <w:r>
        <w:t xml:space="preserve"> </w:t>
      </w:r>
      <w:r w:rsidR="00FE5FD6">
        <w:t xml:space="preserve">by </w:t>
      </w:r>
      <w:r>
        <w:t xml:space="preserve">completing an Unfolding Analysis Tool that prompts them to make connections between the claims developed in “Satyagraha” and the claims developed in other sections of </w:t>
      </w:r>
      <w:r>
        <w:rPr>
          <w:i/>
        </w:rPr>
        <w:t>Sugar Changed the World</w:t>
      </w:r>
      <w:r w:rsidR="00B01B33">
        <w:rPr>
          <w:i/>
        </w:rPr>
        <w:t xml:space="preserve">. </w:t>
      </w:r>
      <w:r w:rsidR="00B01B33">
        <w:t>The lesson assessment asks students to respond to the following prompt</w:t>
      </w:r>
      <w:r>
        <w:t xml:space="preserve">: </w:t>
      </w:r>
      <w:r w:rsidRPr="00B01B33">
        <w:rPr>
          <w:rStyle w:val="QChar"/>
          <w:rFonts w:eastAsia="Calibri"/>
          <w:b w:val="0"/>
        </w:rPr>
        <w:t>How does the concluding section</w:t>
      </w:r>
      <w:r w:rsidR="00372853">
        <w:rPr>
          <w:rStyle w:val="QChar"/>
          <w:rFonts w:eastAsia="Calibri"/>
          <w:b w:val="0"/>
        </w:rPr>
        <w:t>,</w:t>
      </w:r>
      <w:r w:rsidRPr="00B01B33">
        <w:rPr>
          <w:rStyle w:val="QChar"/>
          <w:rFonts w:eastAsia="Calibri"/>
          <w:b w:val="0"/>
        </w:rPr>
        <w:t xml:space="preserve"> “Satyagraha</w:t>
      </w:r>
      <w:r w:rsidR="00372853">
        <w:rPr>
          <w:rStyle w:val="QChar"/>
          <w:rFonts w:eastAsia="Calibri"/>
          <w:b w:val="0"/>
        </w:rPr>
        <w:t>,</w:t>
      </w:r>
      <w:r w:rsidRPr="00B01B33">
        <w:rPr>
          <w:rStyle w:val="QChar"/>
          <w:rFonts w:eastAsia="Calibri"/>
          <w:b w:val="0"/>
        </w:rPr>
        <w:t xml:space="preserve">” refine a central claim developed throughout </w:t>
      </w:r>
      <w:r w:rsidRPr="007771AE">
        <w:rPr>
          <w:rStyle w:val="QChar"/>
          <w:rFonts w:eastAsia="Calibri"/>
          <w:b w:val="0"/>
          <w:i/>
        </w:rPr>
        <w:t>Sugar Changed the World</w:t>
      </w:r>
      <w:r w:rsidRPr="00B01B33">
        <w:rPr>
          <w:rStyle w:val="QChar"/>
          <w:rFonts w:eastAsia="Calibri"/>
          <w:b w:val="0"/>
        </w:rPr>
        <w:t>?</w:t>
      </w:r>
    </w:p>
    <w:p w:rsidR="005C4572" w:rsidRPr="005C4572" w:rsidRDefault="000E1FF7" w:rsidP="0011371C">
      <w:r>
        <w:t>For homework, students preview the concluding essay</w:t>
      </w:r>
      <w:r w:rsidR="007771AE">
        <w:t>,</w:t>
      </w:r>
      <w:r>
        <w:t xml:space="preserve"> “How We Researched and Wrote This Book” (pp. 127</w:t>
      </w:r>
      <w:r w:rsidR="00B91FC7">
        <w:t>–</w:t>
      </w:r>
      <w:r>
        <w:t>130), boxing any unfamiliar words and looking up their definitions.</w:t>
      </w:r>
    </w:p>
    <w:p w:rsidR="00C4787C" w:rsidRDefault="00C4787C" w:rsidP="008F3793">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0E1FF7" w:rsidP="000B2D56">
            <w:pPr>
              <w:pStyle w:val="TableText"/>
            </w:pPr>
            <w:r>
              <w:t>RI.9-10.5</w:t>
            </w:r>
          </w:p>
        </w:tc>
        <w:tc>
          <w:tcPr>
            <w:tcW w:w="8124" w:type="dxa"/>
          </w:tcPr>
          <w:p w:rsidR="00CF498D" w:rsidRDefault="000E1FF7" w:rsidP="000E1FF7">
            <w:pPr>
              <w:pStyle w:val="TableText"/>
            </w:pPr>
            <w:r>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F877A0" w:rsidRPr="0053542D">
        <w:tc>
          <w:tcPr>
            <w:tcW w:w="9468" w:type="dxa"/>
            <w:gridSpan w:val="2"/>
          </w:tcPr>
          <w:p w:rsidR="00F877A0" w:rsidRPr="009C28BD" w:rsidRDefault="00F877A0" w:rsidP="000B2D56">
            <w:pPr>
              <w:pStyle w:val="TableText"/>
            </w:pPr>
            <w:r>
              <w:t>None</w:t>
            </w:r>
            <w:r w:rsidR="00B91FC7">
              <w:t>.</w:t>
            </w:r>
          </w:p>
        </w:tc>
      </w:tr>
    </w:tbl>
    <w:p w:rsidR="00C4787C" w:rsidRDefault="00C4787C" w:rsidP="008F3793">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706B49" w:rsidRDefault="00706B49" w:rsidP="00706B49">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2A05CB" w:rsidRPr="00B91FC7" w:rsidRDefault="00706B49" w:rsidP="00B91FC7">
            <w:pPr>
              <w:pStyle w:val="BulletedList"/>
            </w:pPr>
            <w:r w:rsidRPr="0011371C">
              <w:t>H</w:t>
            </w:r>
            <w:r w:rsidR="000E1FF7" w:rsidRPr="0011371C">
              <w:t>ow</w:t>
            </w:r>
            <w:r w:rsidR="000E1FF7">
              <w:t xml:space="preserve"> does the concluding section</w:t>
            </w:r>
            <w:r w:rsidR="00661E0A">
              <w:t>,</w:t>
            </w:r>
            <w:r w:rsidR="000E1FF7">
              <w:t xml:space="preserve"> “Satyagraha</w:t>
            </w:r>
            <w:r w:rsidR="00661E0A">
              <w:t>,</w:t>
            </w:r>
            <w:r w:rsidR="000E1FF7">
              <w:t xml:space="preserve">” refine a central claim developed throughout </w:t>
            </w:r>
            <w:r w:rsidR="000E1FF7">
              <w:rPr>
                <w:i/>
              </w:rPr>
              <w:t>Sugar Changed the World</w:t>
            </w:r>
            <w:r w:rsidR="0011371C">
              <w:t xml:space="preserve">? </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BE4EBD" w:rsidRDefault="00C2048A" w:rsidP="008151E5">
            <w:pPr>
              <w:pStyle w:val="TableText"/>
            </w:pPr>
            <w:r>
              <w:t>A H</w:t>
            </w:r>
            <w:r w:rsidR="00BE4EBD">
              <w:t xml:space="preserve">igh </w:t>
            </w:r>
            <w:r>
              <w:t>P</w:t>
            </w:r>
            <w:r w:rsidR="00BE4EBD">
              <w:t xml:space="preserve">erformance </w:t>
            </w:r>
            <w:r>
              <w:t>R</w:t>
            </w:r>
            <w:r w:rsidR="00850CE6">
              <w:t>esponse</w:t>
            </w:r>
            <w:r w:rsidR="00BE4EBD">
              <w:t xml:space="preserve"> </w:t>
            </w:r>
            <w:r w:rsidR="00553ACA">
              <w:t>should</w:t>
            </w:r>
            <w:r w:rsidR="00BE4EBD">
              <w:t xml:space="preserve"> include the following:</w:t>
            </w:r>
          </w:p>
          <w:p w:rsidR="000E1FF7" w:rsidRDefault="000E1FF7" w:rsidP="000E1FF7">
            <w:pPr>
              <w:pStyle w:val="BulletedList"/>
            </w:pPr>
            <w:r>
              <w:rPr>
                <w:rFonts w:cs="Calibri"/>
              </w:rPr>
              <w:t xml:space="preserve">Identify a central claim in </w:t>
            </w:r>
            <w:r>
              <w:t xml:space="preserve">“Satyagraha” </w:t>
            </w:r>
            <w:r>
              <w:rPr>
                <w:rFonts w:cs="Calibri"/>
              </w:rPr>
              <w:t>(e.g.</w:t>
            </w:r>
            <w:r w:rsidR="00EF7709">
              <w:rPr>
                <w:rFonts w:cs="Calibri"/>
              </w:rPr>
              <w:t>,</w:t>
            </w:r>
            <w:r>
              <w:rPr>
                <w:rFonts w:cs="Calibri"/>
              </w:rPr>
              <w:t xml:space="preserve"> </w:t>
            </w:r>
            <w:r>
              <w:t>“Sugar crushed people, and yet it was because of sugar that Gandhi began his experiment in truth</w:t>
            </w:r>
            <w:r w:rsidR="00EF7709">
              <w:t>—</w:t>
            </w:r>
            <w:r>
              <w:t>so that ev</w:t>
            </w:r>
            <w:r w:rsidR="00E7340C">
              <w:t>ery individual could free him-</w:t>
            </w:r>
            <w:r w:rsidR="00EF7709">
              <w:t xml:space="preserve"> or herself.”</w:t>
            </w:r>
            <w:r>
              <w:t xml:space="preserve"> (</w:t>
            </w:r>
            <w:r w:rsidR="00BF1EE8">
              <w:t xml:space="preserve">p. </w:t>
            </w:r>
            <w:r>
              <w:t>125)</w:t>
            </w:r>
            <w:r>
              <w:rPr>
                <w:rFonts w:cs="Calibri"/>
              </w:rPr>
              <w:t>)</w:t>
            </w:r>
            <w:r w:rsidR="00EF7709">
              <w:rPr>
                <w:rFonts w:cs="Calibri"/>
              </w:rPr>
              <w:t>.</w:t>
            </w:r>
          </w:p>
          <w:p w:rsidR="00D920A6" w:rsidRPr="003908D2" w:rsidRDefault="000E1FF7" w:rsidP="00660852">
            <w:pPr>
              <w:pStyle w:val="BulletedList"/>
            </w:pPr>
            <w:r>
              <w:t>Analyze how the claim identified in “Satyagraha” shapes and refines a central claim developed throughout the text (e.g.</w:t>
            </w:r>
            <w:r w:rsidR="00EF7709">
              <w:t>,</w:t>
            </w:r>
            <w:r>
              <w:t xml:space="preserve"> The central claim from “Satyagraha” shows how terrible events like the sugar slave trade can inspire </w:t>
            </w:r>
            <w:r w:rsidR="00933EB6">
              <w:t>large</w:t>
            </w:r>
            <w:r w:rsidR="00660852">
              <w:t xml:space="preserve"> </w:t>
            </w:r>
            <w:r w:rsidR="00933EB6">
              <w:t>scale</w:t>
            </w:r>
            <w:r>
              <w:t xml:space="preserve">, positive change like Gandhi’s revolution. This connects to the claim that is developed through </w:t>
            </w:r>
            <w:r>
              <w:rPr>
                <w:i/>
              </w:rPr>
              <w:t>Sugar Changed the World</w:t>
            </w:r>
            <w:r w:rsidR="00EF7709">
              <w:t>:</w:t>
            </w:r>
            <w:r>
              <w:rPr>
                <w:i/>
              </w:rPr>
              <w:t xml:space="preserve"> </w:t>
            </w:r>
            <w:proofErr w:type="gramStart"/>
            <w:r>
              <w:t>individuals,</w:t>
            </w:r>
            <w:proofErr w:type="gramEnd"/>
            <w:r>
              <w:t xml:space="preserve"> like the sugar slaves </w:t>
            </w:r>
            <w:r w:rsidR="000402F0">
              <w:t xml:space="preserve">in Haiti and those </w:t>
            </w:r>
            <w:r>
              <w:t xml:space="preserve">who wrote music and danced as a form of rebellion, can </w:t>
            </w:r>
            <w:r w:rsidR="0019072E">
              <w:t xml:space="preserve">overcome hardship and </w:t>
            </w:r>
            <w:r w:rsidR="0019072E" w:rsidRPr="00191EE7">
              <w:rPr>
                <w:spacing w:val="-4"/>
              </w:rPr>
              <w:t>create positive change</w:t>
            </w:r>
            <w:r w:rsidRPr="00191EE7">
              <w:rPr>
                <w:spacing w:val="-4"/>
              </w:rPr>
              <w:t xml:space="preserve"> even in the face of terrible cruelty.</w:t>
            </w:r>
            <w:r w:rsidR="005D58F0" w:rsidRPr="00191EE7">
              <w:rPr>
                <w:spacing w:val="-4"/>
              </w:rPr>
              <w:t xml:space="preserve"> The inclusion of the section </w:t>
            </w:r>
            <w:r w:rsidR="00EF7709" w:rsidRPr="00191EE7">
              <w:rPr>
                <w:spacing w:val="-4"/>
              </w:rPr>
              <w:t>“</w:t>
            </w:r>
            <w:r w:rsidR="005D58F0" w:rsidRPr="00191EE7">
              <w:rPr>
                <w:spacing w:val="-4"/>
              </w:rPr>
              <w:t>Satyagraha</w:t>
            </w:r>
            <w:r w:rsidR="00EF7709" w:rsidRPr="00191EE7">
              <w:rPr>
                <w:spacing w:val="-4"/>
              </w:rPr>
              <w:t>”</w:t>
            </w:r>
            <w:r w:rsidR="005D58F0" w:rsidRPr="00191EE7">
              <w:rPr>
                <w:spacing w:val="-4"/>
              </w:rPr>
              <w:t xml:space="preserve"> also culminates </w:t>
            </w:r>
            <w:r w:rsidR="00EF7709" w:rsidRPr="00191EE7">
              <w:rPr>
                <w:spacing w:val="-4"/>
              </w:rPr>
              <w:t xml:space="preserve">in </w:t>
            </w:r>
            <w:r w:rsidR="005D58F0" w:rsidRPr="00191EE7">
              <w:rPr>
                <w:spacing w:val="-4"/>
              </w:rPr>
              <w:t xml:space="preserve">the book </w:t>
            </w:r>
            <w:r w:rsidR="00EF7709" w:rsidRPr="00191EE7">
              <w:rPr>
                <w:spacing w:val="-4"/>
              </w:rPr>
              <w:t>a movement from</w:t>
            </w:r>
            <w:r w:rsidR="005D58F0" w:rsidRPr="00191EE7">
              <w:rPr>
                <w:spacing w:val="-4"/>
              </w:rPr>
              <w:t xml:space="preserve"> the </w:t>
            </w:r>
            <w:r w:rsidR="00EF7709" w:rsidRPr="00191EE7">
              <w:rPr>
                <w:spacing w:val="-4"/>
              </w:rPr>
              <w:t>“</w:t>
            </w:r>
            <w:r w:rsidR="005D58F0" w:rsidRPr="00191EE7">
              <w:rPr>
                <w:spacing w:val="-4"/>
              </w:rPr>
              <w:t>Age of Sugar</w:t>
            </w:r>
            <w:r w:rsidR="00EF7709" w:rsidRPr="00191EE7">
              <w:rPr>
                <w:spacing w:val="-4"/>
              </w:rPr>
              <w:t>”</w:t>
            </w:r>
            <w:r w:rsidR="005D58F0" w:rsidRPr="00191EE7">
              <w:rPr>
                <w:spacing w:val="-4"/>
              </w:rPr>
              <w:t xml:space="preserve"> and slavery into the age of freedom.</w:t>
            </w:r>
            <w:r w:rsidRPr="00191EE7">
              <w:rPr>
                <w:spacing w:val="-4"/>
              </w:rPr>
              <w:t>)</w:t>
            </w:r>
            <w:r w:rsidR="00787A38" w:rsidRPr="00191EE7">
              <w:rPr>
                <w:spacing w:val="-4"/>
              </w:rPr>
              <w:t>.</w:t>
            </w:r>
            <w:r>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E1FF7" w:rsidRDefault="000E1FF7" w:rsidP="000E1FF7">
            <w:pPr>
              <w:pStyle w:val="BulletedList"/>
            </w:pPr>
            <w:r>
              <w:t>reprisals (n.) – acts or instances of retaliation</w:t>
            </w:r>
          </w:p>
          <w:p w:rsidR="000E1FF7" w:rsidRDefault="000E1FF7" w:rsidP="000E1FF7">
            <w:pPr>
              <w:pStyle w:val="BulletedList"/>
            </w:pPr>
            <w:r>
              <w:t>oppressors (n.) – people who burden others with cruelty</w:t>
            </w:r>
          </w:p>
          <w:p w:rsidR="000E1FF7" w:rsidRDefault="000E1FF7" w:rsidP="000E1FF7">
            <w:pPr>
              <w:pStyle w:val="BulletedList"/>
            </w:pPr>
            <w:r>
              <w:t>tyrants (n.) –</w:t>
            </w:r>
            <w:r w:rsidR="007D359B">
              <w:t xml:space="preserve"> </w:t>
            </w:r>
            <w:r>
              <w:t>people in positions of authority who use power unjustly</w:t>
            </w:r>
          </w:p>
          <w:p w:rsidR="000E1FF7" w:rsidRDefault="000E1FF7" w:rsidP="000E1FF7">
            <w:pPr>
              <w:pStyle w:val="BulletedList"/>
            </w:pPr>
            <w:r>
              <w:t>vanquish (v.) – to conquer by superior force; to overcome or overpower</w:t>
            </w:r>
          </w:p>
          <w:p w:rsidR="000E1FF7" w:rsidRDefault="000E1FF7" w:rsidP="000E1FF7">
            <w:pPr>
              <w:pStyle w:val="BulletedList"/>
            </w:pPr>
            <w:r>
              <w:t>weaned (v.) – to be withdrawn from some object, habit, form of enjoyment, or the like</w:t>
            </w:r>
          </w:p>
          <w:p w:rsidR="000E1FF7" w:rsidRDefault="000E1FF7" w:rsidP="000E1FF7">
            <w:pPr>
              <w:pStyle w:val="BulletedList"/>
            </w:pPr>
            <w:r>
              <w:t>passive (adj.) – used to describe someone who allows things to happen or who accepts what other people do or decide without trying to change anything</w:t>
            </w:r>
          </w:p>
          <w:p w:rsidR="000B2D56" w:rsidRPr="00B231AA" w:rsidRDefault="000E1FF7" w:rsidP="000E1FF7">
            <w:pPr>
              <w:pStyle w:val="BulletedList"/>
            </w:pPr>
            <w:r>
              <w:t>ultimatum (n.) – a final, uncompromising demand or set of terms; a final proposal or statement of conditions</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0E1FF7" w:rsidP="005B64F8">
            <w:pPr>
              <w:pStyle w:val="BulletedList"/>
            </w:pPr>
            <w:r>
              <w:t>None.</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8F3793">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EF7709" w:rsidP="008151E5">
            <w:pPr>
              <w:pStyle w:val="BulletedList"/>
            </w:pPr>
            <w:r>
              <w:t>Standard</w:t>
            </w:r>
            <w:r w:rsidR="00BE4EBD">
              <w:t>:</w:t>
            </w:r>
            <w:r w:rsidR="000E1FF7">
              <w:rPr>
                <w:rFonts w:cs="Calibri"/>
              </w:rPr>
              <w:t xml:space="preserve"> RI.9-10.5</w:t>
            </w:r>
          </w:p>
          <w:p w:rsidR="00730123" w:rsidRDefault="004B7C07" w:rsidP="00EF7709">
            <w:pPr>
              <w:pStyle w:val="BulletedList"/>
            </w:pPr>
            <w:r>
              <w:t xml:space="preserve">Text: </w:t>
            </w:r>
            <w:r w:rsidR="00EF7709">
              <w:t>“</w:t>
            </w:r>
            <w:r w:rsidR="000E1FF7">
              <w:rPr>
                <w:rFonts w:cs="Calibri"/>
              </w:rPr>
              <w:t xml:space="preserve">Satyagraha” from </w:t>
            </w:r>
            <w:r w:rsidR="000E1FF7">
              <w:rPr>
                <w:rFonts w:cs="Calibri"/>
                <w:i/>
              </w:rPr>
              <w:t>Sugar Changed the World</w:t>
            </w:r>
            <w:r w:rsidR="00EF7709">
              <w:rPr>
                <w:rFonts w:cs="Calibri"/>
                <w:i/>
              </w:rPr>
              <w:t xml:space="preserve"> </w:t>
            </w:r>
            <w:r w:rsidR="00EF7709">
              <w:rPr>
                <w:rFonts w:cs="Calibri"/>
              </w:rPr>
              <w:t xml:space="preserve">(pp. 121–126)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0E1FF7" w:rsidRPr="00C2048A" w:rsidRDefault="000E1FF7" w:rsidP="00C2048A">
            <w:pPr>
              <w:pStyle w:val="NumberedList"/>
            </w:pPr>
            <w:r w:rsidRPr="00C2048A">
              <w:t>Introduction of Lesson Agenda</w:t>
            </w:r>
          </w:p>
          <w:p w:rsidR="000E1FF7" w:rsidRPr="00C2048A" w:rsidRDefault="000E1FF7" w:rsidP="00C2048A">
            <w:pPr>
              <w:pStyle w:val="NumberedList"/>
            </w:pPr>
            <w:r w:rsidRPr="00C2048A">
              <w:t xml:space="preserve">Homework Accountability </w:t>
            </w:r>
          </w:p>
          <w:p w:rsidR="000E1FF7" w:rsidRPr="00C2048A" w:rsidRDefault="000E1FF7" w:rsidP="00C2048A">
            <w:pPr>
              <w:pStyle w:val="NumberedList"/>
            </w:pPr>
            <w:r w:rsidRPr="00C2048A">
              <w:t>Reading and Discussion</w:t>
            </w:r>
          </w:p>
          <w:p w:rsidR="000E1FF7" w:rsidRPr="00C2048A" w:rsidRDefault="000E1FF7" w:rsidP="00C2048A">
            <w:pPr>
              <w:pStyle w:val="NumberedList"/>
            </w:pPr>
            <w:r w:rsidRPr="00C2048A">
              <w:t>Unfolding Analysis Activity</w:t>
            </w:r>
          </w:p>
          <w:p w:rsidR="000E1FF7" w:rsidRPr="00C2048A" w:rsidRDefault="00D27639" w:rsidP="00C2048A">
            <w:pPr>
              <w:pStyle w:val="NumberedList"/>
            </w:pPr>
            <w:r>
              <w:t>Quick Write</w:t>
            </w:r>
          </w:p>
          <w:p w:rsidR="00546D71" w:rsidRPr="00546D71" w:rsidRDefault="000E1FF7" w:rsidP="00C2048A">
            <w:pPr>
              <w:pStyle w:val="NumberedList"/>
            </w:pPr>
            <w:r w:rsidRPr="00C2048A">
              <w:t>Closing</w:t>
            </w:r>
          </w:p>
        </w:tc>
        <w:tc>
          <w:tcPr>
            <w:tcW w:w="1638" w:type="dxa"/>
            <w:tcBorders>
              <w:top w:val="nil"/>
            </w:tcBorders>
          </w:tcPr>
          <w:p w:rsidR="00546D71" w:rsidRDefault="00546D71" w:rsidP="000B2D56">
            <w:pPr>
              <w:pStyle w:val="TableText"/>
            </w:pPr>
          </w:p>
          <w:p w:rsidR="000E1FF7" w:rsidRPr="00C2048A" w:rsidRDefault="000E1FF7" w:rsidP="00C2048A">
            <w:pPr>
              <w:pStyle w:val="NumberedList"/>
              <w:numPr>
                <w:ilvl w:val="0"/>
                <w:numId w:val="10"/>
              </w:numPr>
            </w:pPr>
            <w:r w:rsidRPr="00C2048A">
              <w:t>5%</w:t>
            </w:r>
          </w:p>
          <w:p w:rsidR="000E1FF7" w:rsidRPr="00C2048A" w:rsidRDefault="000E1FF7" w:rsidP="00C2048A">
            <w:pPr>
              <w:pStyle w:val="NumberedList"/>
            </w:pPr>
            <w:r w:rsidRPr="00C2048A">
              <w:t>15%</w:t>
            </w:r>
          </w:p>
          <w:p w:rsidR="000E1FF7" w:rsidRPr="00C2048A" w:rsidRDefault="000E1FF7" w:rsidP="00C2048A">
            <w:pPr>
              <w:pStyle w:val="NumberedList"/>
            </w:pPr>
            <w:r w:rsidRPr="00C2048A">
              <w:t>30%</w:t>
            </w:r>
          </w:p>
          <w:p w:rsidR="000E1FF7" w:rsidRPr="00C2048A" w:rsidRDefault="000E1FF7" w:rsidP="00C2048A">
            <w:pPr>
              <w:pStyle w:val="NumberedList"/>
            </w:pPr>
            <w:r w:rsidRPr="00C2048A">
              <w:t>35%</w:t>
            </w:r>
          </w:p>
          <w:p w:rsidR="000E1FF7" w:rsidRPr="00C2048A" w:rsidRDefault="000E1FF7" w:rsidP="00C2048A">
            <w:pPr>
              <w:pStyle w:val="NumberedList"/>
            </w:pPr>
            <w:r w:rsidRPr="00C2048A">
              <w:t>10%</w:t>
            </w:r>
          </w:p>
          <w:p w:rsidR="00546D71" w:rsidRPr="00C02EC2" w:rsidRDefault="000E1FF7" w:rsidP="00C2048A">
            <w:pPr>
              <w:pStyle w:val="NumberedList"/>
            </w:pPr>
            <w:r w:rsidRPr="00C2048A">
              <w:t>5%</w:t>
            </w:r>
          </w:p>
        </w:tc>
      </w:tr>
    </w:tbl>
    <w:p w:rsidR="003368BF" w:rsidRDefault="00F308FF" w:rsidP="00E946A0">
      <w:pPr>
        <w:pStyle w:val="Heading1"/>
      </w:pPr>
      <w:r>
        <w:t>Materials</w:t>
      </w:r>
    </w:p>
    <w:p w:rsidR="00EF7709" w:rsidRPr="006E7D3C" w:rsidRDefault="00EF7709" w:rsidP="00EF7709">
      <w:pPr>
        <w:pStyle w:val="BulletedList"/>
      </w:pPr>
      <w:r>
        <w:t>Copies of the Unfolding Analysis Tool</w:t>
      </w:r>
      <w:r w:rsidR="00660852">
        <w:t>: Connecting Ideas</w:t>
      </w:r>
      <w:r>
        <w:t xml:space="preserve"> for each student</w:t>
      </w:r>
    </w:p>
    <w:p w:rsidR="000E1FF7" w:rsidRDefault="00EF7709" w:rsidP="000E1FF7">
      <w:pPr>
        <w:pStyle w:val="BulletedList"/>
      </w:pPr>
      <w:r>
        <w:t>Student c</w:t>
      </w:r>
      <w:r w:rsidR="000E1FF7">
        <w:t xml:space="preserve">opies of the Short Response Rubric and Checklist </w:t>
      </w:r>
      <w:r w:rsidR="00591A65">
        <w:t>(refer to 9.4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0E1FF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0E1FF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0E1FF7">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0E1FF7">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0E1FF7">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0E1FF7">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0E1FF7">
            <w:pPr>
              <w:spacing w:before="20" w:after="20" w:line="240" w:lineRule="auto"/>
              <w:rPr>
                <w:sz w:val="20"/>
              </w:rPr>
            </w:pPr>
            <w:r w:rsidRPr="001708C2">
              <w:rPr>
                <w:sz w:val="20"/>
              </w:rPr>
              <w:t>Indicates possible student response(s) to teacher questions.</w:t>
            </w:r>
          </w:p>
        </w:tc>
      </w:tr>
      <w:tr w:rsidR="00546D71" w:rsidRPr="000D6FA4" w:rsidTr="00191EE7">
        <w:tc>
          <w:tcPr>
            <w:tcW w:w="894" w:type="dxa"/>
            <w:vAlign w:val="center"/>
          </w:tcPr>
          <w:p w:rsidR="00546D71" w:rsidRPr="000D6FA4" w:rsidRDefault="00546D71" w:rsidP="00191EE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0E1FF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Default="00BB27BA" w:rsidP="008F3793">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0E1FF7" w:rsidRDefault="000E1FF7" w:rsidP="0026589E">
      <w:pPr>
        <w:pStyle w:val="TA"/>
      </w:pPr>
      <w:r>
        <w:t xml:space="preserve">Begin by reviewing the agenda and sharing the assessed standard for this lesson: RI.9-10.5. In this lesson, students analyze how the authors’ choice to conclude </w:t>
      </w:r>
      <w:r>
        <w:rPr>
          <w:i/>
        </w:rPr>
        <w:t>Sugar Changed the World</w:t>
      </w:r>
      <w:r>
        <w:t xml:space="preserve"> with the section “Satyagraha” develops and refines a central claim of the text. </w:t>
      </w:r>
    </w:p>
    <w:p w:rsidR="00321266" w:rsidRDefault="00321266" w:rsidP="00321266">
      <w:pPr>
        <w:pStyle w:val="SA"/>
        <w:numPr>
          <w:ilvl w:val="0"/>
          <w:numId w:val="1"/>
        </w:numPr>
      </w:pPr>
      <w:r>
        <w:t xml:space="preserve">Students </w:t>
      </w:r>
      <w:r w:rsidR="007D359B">
        <w:t>look at the agenda</w:t>
      </w:r>
      <w:r>
        <w:t>.</w:t>
      </w:r>
    </w:p>
    <w:p w:rsidR="000B2D56" w:rsidRDefault="000B2D56" w:rsidP="00CE2836">
      <w:pPr>
        <w:pStyle w:val="LearningSequenceHeader"/>
      </w:pPr>
      <w:r>
        <w:t>Activity 2</w:t>
      </w:r>
      <w:r w:rsidRPr="000B2D56">
        <w:t xml:space="preserve">: </w:t>
      </w:r>
      <w:r w:rsidR="000E1FF7">
        <w:t>Homework Accountability</w:t>
      </w:r>
      <w:r w:rsidR="000E1FF7">
        <w:tab/>
        <w:t>15</w:t>
      </w:r>
      <w:r w:rsidRPr="000B2D56">
        <w:t>%</w:t>
      </w:r>
    </w:p>
    <w:p w:rsidR="000E1FF7" w:rsidRDefault="001F4B02" w:rsidP="000E1FF7">
      <w:pPr>
        <w:pStyle w:val="TA"/>
      </w:pPr>
      <w:r>
        <w:t xml:space="preserve">Instruct students to take out their </w:t>
      </w:r>
      <w:r w:rsidR="002D56EC">
        <w:t>responses to the homework</w:t>
      </w:r>
      <w:r w:rsidR="007D359B">
        <w:t xml:space="preserve"> </w:t>
      </w:r>
      <w:r>
        <w:t xml:space="preserve">and Turn-and-Talk in pairs about the </w:t>
      </w:r>
      <w:r w:rsidR="007D359B">
        <w:t xml:space="preserve">questions they answered based on their reading of </w:t>
      </w:r>
      <w:r w:rsidR="000E1FF7">
        <w:t>“The Lawyer</w:t>
      </w:r>
      <w:r w:rsidR="007D359B">
        <w:t>.</w:t>
      </w:r>
      <w:r w:rsidR="000E1FF7">
        <w:t xml:space="preserve">” </w:t>
      </w:r>
    </w:p>
    <w:p w:rsidR="000E1FF7" w:rsidRDefault="007D359B" w:rsidP="000E1FF7">
      <w:pPr>
        <w:pStyle w:val="SA"/>
      </w:pPr>
      <w:r>
        <w:t>Student pairs</w:t>
      </w:r>
      <w:r w:rsidR="000E1FF7">
        <w:t xml:space="preserve"> discuss and share their responses to “The Lawyer” homework </w:t>
      </w:r>
      <w:r w:rsidR="001163BB">
        <w:t>questions</w:t>
      </w:r>
      <w:r w:rsidR="000E1FF7">
        <w:t>.</w:t>
      </w:r>
    </w:p>
    <w:p w:rsidR="000E1FF7" w:rsidRDefault="000E1FF7" w:rsidP="000E1FF7">
      <w:pPr>
        <w:pStyle w:val="Q"/>
      </w:pPr>
      <w:r>
        <w:t>How did Gandhi end up in South Africa?</w:t>
      </w:r>
    </w:p>
    <w:p w:rsidR="000E1FF7" w:rsidRDefault="00F76583" w:rsidP="000E1FF7">
      <w:pPr>
        <w:pStyle w:val="SR"/>
      </w:pPr>
      <w:r>
        <w:t xml:space="preserve">Gandhi </w:t>
      </w:r>
      <w:r w:rsidR="001163BB">
        <w:t>would “lose caste i</w:t>
      </w:r>
      <w:r w:rsidR="00787A38">
        <w:t>f</w:t>
      </w:r>
      <w:r w:rsidR="001163BB">
        <w:t xml:space="preserve"> he crossed the black water,” </w:t>
      </w:r>
      <w:r w:rsidR="00BF1EE8">
        <w:t xml:space="preserve">so </w:t>
      </w:r>
      <w:r w:rsidR="000E1FF7">
        <w:t>his “family arranged a special ceremony” to maintain his place in Indian society</w:t>
      </w:r>
      <w:r w:rsidR="00BF1EE8">
        <w:t xml:space="preserve"> before he went to study law in England</w:t>
      </w:r>
      <w:r w:rsidR="000E1FF7">
        <w:t>. After his time in England, he moved to Natal to practice law “because many Indians were already in Natal, laboring as indentured sugar workers” (</w:t>
      </w:r>
      <w:r w:rsidR="00150AAB">
        <w:t xml:space="preserve">p. </w:t>
      </w:r>
      <w:r w:rsidR="000E1FF7">
        <w:t xml:space="preserve">118). </w:t>
      </w:r>
    </w:p>
    <w:p w:rsidR="000E1FF7" w:rsidRDefault="000E1FF7" w:rsidP="000E1FF7">
      <w:pPr>
        <w:pStyle w:val="Q"/>
      </w:pPr>
      <w:r>
        <w:t>What impact did Balasumdaram have on Gandhi?</w:t>
      </w:r>
    </w:p>
    <w:p w:rsidR="000E1FF7" w:rsidRDefault="000E1FF7" w:rsidP="000E1FF7">
      <w:pPr>
        <w:pStyle w:val="SR"/>
      </w:pPr>
      <w:r>
        <w:t>Balasumdaram, though not a slave, came to Gandhi after having been beaten by his employer at a job he could</w:t>
      </w:r>
      <w:r w:rsidR="002F5367">
        <w:t xml:space="preserve"> not</w:t>
      </w:r>
      <w:r>
        <w:t xml:space="preserve"> abandon. He helped Gandhi realize that “like the slave the indentured labourer was the property of his master” (</w:t>
      </w:r>
      <w:r w:rsidR="00006F31">
        <w:t xml:space="preserve">p. </w:t>
      </w:r>
      <w:r>
        <w:t xml:space="preserve">120). </w:t>
      </w:r>
    </w:p>
    <w:p w:rsidR="000E1FF7" w:rsidRDefault="000E1FF7" w:rsidP="000E1FF7">
      <w:pPr>
        <w:pStyle w:val="Q"/>
      </w:pPr>
      <w:r>
        <w:t>How was life difficult for Indians in South Africa?</w:t>
      </w:r>
    </w:p>
    <w:p w:rsidR="00787A38" w:rsidRDefault="00787A38" w:rsidP="000E1FF7">
      <w:pPr>
        <w:pStyle w:val="SR"/>
      </w:pPr>
      <w:r>
        <w:t xml:space="preserve">Student responses may include: </w:t>
      </w:r>
    </w:p>
    <w:p w:rsidR="00787A38" w:rsidRDefault="000E1FF7" w:rsidP="00787A38">
      <w:pPr>
        <w:pStyle w:val="SASRBullet"/>
      </w:pPr>
      <w:r>
        <w:t xml:space="preserve">Indians </w:t>
      </w:r>
      <w:r w:rsidR="00BE3DA4">
        <w:t xml:space="preserve">who stayed on </w:t>
      </w:r>
      <w:r>
        <w:t xml:space="preserve">in South Africa </w:t>
      </w:r>
      <w:r w:rsidR="00BE3DA4">
        <w:t>built “</w:t>
      </w:r>
      <w:r w:rsidR="00006F31">
        <w:t>their own new community,”</w:t>
      </w:r>
      <w:r>
        <w:t xml:space="preserve"> </w:t>
      </w:r>
      <w:r w:rsidR="00BE3DA4">
        <w:t>angering</w:t>
      </w:r>
      <w:r>
        <w:t xml:space="preserve"> “white settlers</w:t>
      </w:r>
      <w:r w:rsidR="00BF1EE8">
        <w:t xml:space="preserve"> </w:t>
      </w:r>
      <w:proofErr w:type="gramStart"/>
      <w:r>
        <w:t>…</w:t>
      </w:r>
      <w:r w:rsidR="00BE3DA4">
        <w:t>[</w:t>
      </w:r>
      <w:proofErr w:type="gramEnd"/>
      <w:r>
        <w:t>who</w:t>
      </w:r>
      <w:r w:rsidR="00BE3DA4">
        <w:t>]</w:t>
      </w:r>
      <w:r>
        <w:t xml:space="preserve"> were happy to have cheap Indian labor” but who did not want to “[allow] Indians to live </w:t>
      </w:r>
      <w:r w:rsidR="00006F31">
        <w:t>there as equals</w:t>
      </w:r>
      <w:r>
        <w:t>.</w:t>
      </w:r>
      <w:r w:rsidR="00006F31">
        <w:t>”</w:t>
      </w:r>
      <w:r>
        <w:t xml:space="preserve"> </w:t>
      </w:r>
    </w:p>
    <w:p w:rsidR="00787A38" w:rsidRDefault="000E1FF7" w:rsidP="00787A38">
      <w:pPr>
        <w:pStyle w:val="SASRBullet"/>
      </w:pPr>
      <w:r>
        <w:t>The white settlers used fear</w:t>
      </w:r>
      <w:r w:rsidR="00BE3DA4">
        <w:t>, violence</w:t>
      </w:r>
      <w:r>
        <w:t xml:space="preserve"> and severe punishment to intimidate their Indian workers.</w:t>
      </w:r>
      <w:r w:rsidR="00A83024">
        <w:t xml:space="preserve"> </w:t>
      </w:r>
    </w:p>
    <w:p w:rsidR="000E1FF7" w:rsidRDefault="000E1FF7" w:rsidP="00787A38">
      <w:pPr>
        <w:pStyle w:val="SASRBullet"/>
      </w:pPr>
      <w:r>
        <w:t xml:space="preserve">A law was passed </w:t>
      </w:r>
      <w:r w:rsidR="00BE3DA4">
        <w:t xml:space="preserve">forcing </w:t>
      </w:r>
      <w:r>
        <w:t xml:space="preserve">a heavy tax </w:t>
      </w:r>
      <w:r w:rsidR="00BE3DA4">
        <w:t xml:space="preserve">on Indians </w:t>
      </w:r>
      <w:r>
        <w:t>if they decided to settle</w:t>
      </w:r>
      <w:r w:rsidR="00BE3DA4">
        <w:t xml:space="preserve"> in Natal: “</w:t>
      </w:r>
      <w:r>
        <w:t xml:space="preserve">The </w:t>
      </w:r>
      <w:r w:rsidR="00BE3DA4">
        <w:t xml:space="preserve">message was clear: You were brought to Natal only as a guest worker; you have no right to </w:t>
      </w:r>
      <w:r>
        <w:t>stay” (</w:t>
      </w:r>
      <w:r w:rsidR="00006F31">
        <w:t>p</w:t>
      </w:r>
      <w:r w:rsidR="00BE3DA4">
        <w:t>. 120</w:t>
      </w:r>
      <w:r>
        <w:t xml:space="preserve">). </w:t>
      </w:r>
    </w:p>
    <w:p w:rsidR="00DB6416" w:rsidRDefault="00DB6416" w:rsidP="00DB6416">
      <w:pPr>
        <w:pStyle w:val="TA"/>
      </w:pPr>
      <w:r>
        <w:t>Lead a brief whole-class discussion of student responses.</w:t>
      </w:r>
    </w:p>
    <w:p w:rsidR="000B2D56" w:rsidRDefault="000B2D56" w:rsidP="00CE2836">
      <w:pPr>
        <w:pStyle w:val="LearningSequenceHeader"/>
      </w:pPr>
      <w:r w:rsidRPr="000B2D56">
        <w:t xml:space="preserve">Activity </w:t>
      </w:r>
      <w:r>
        <w:t>3</w:t>
      </w:r>
      <w:r w:rsidRPr="000B2D56">
        <w:t xml:space="preserve">: </w:t>
      </w:r>
      <w:r w:rsidR="000E1FF7">
        <w:t>Reading and Discussion</w:t>
      </w:r>
      <w:r w:rsidR="000E1FF7">
        <w:tab/>
        <w:t>30</w:t>
      </w:r>
      <w:r w:rsidRPr="000B2D56">
        <w:t>%</w:t>
      </w:r>
    </w:p>
    <w:p w:rsidR="007D359B" w:rsidRDefault="007D359B" w:rsidP="000E1FF7">
      <w:pPr>
        <w:pStyle w:val="TA"/>
      </w:pPr>
      <w:r w:rsidRPr="007D359B">
        <w:t xml:space="preserve">Instruct students to form pairs. Post or project </w:t>
      </w:r>
      <w:r w:rsidR="00540CCD">
        <w:t>the</w:t>
      </w:r>
      <w:r w:rsidRPr="007D359B">
        <w:t xml:space="preserve"> questions below for students to discuss.</w:t>
      </w:r>
    </w:p>
    <w:p w:rsidR="00B85CB8" w:rsidRDefault="000E1FF7" w:rsidP="000E1FF7">
      <w:pPr>
        <w:pStyle w:val="TA"/>
      </w:pPr>
      <w:r>
        <w:t xml:space="preserve">Instruct students to independently read the final section of </w:t>
      </w:r>
      <w:r w:rsidRPr="00732D97">
        <w:rPr>
          <w:i/>
        </w:rPr>
        <w:t>Sugar Changed the World</w:t>
      </w:r>
      <w:r>
        <w:t>, “Satyagraha” (pp.</w:t>
      </w:r>
      <w:r w:rsidR="007F4801">
        <w:t xml:space="preserve"> </w:t>
      </w:r>
      <w:r>
        <w:t>121</w:t>
      </w:r>
      <w:r w:rsidR="00BF1EE8">
        <w:t>–</w:t>
      </w:r>
      <w:r>
        <w:t xml:space="preserve">126). </w:t>
      </w:r>
    </w:p>
    <w:p w:rsidR="00267BFB" w:rsidRDefault="00267BFB" w:rsidP="00267BFB">
      <w:pPr>
        <w:pStyle w:val="IN"/>
      </w:pPr>
      <w:r>
        <w:t>If necessary to support comprehension and fluency, consider providing a masterful reading of the focus excerpt for the lesson.</w:t>
      </w:r>
    </w:p>
    <w:p w:rsidR="00B85CB8" w:rsidRDefault="00B85CB8" w:rsidP="00B85CB8">
      <w:pPr>
        <w:pStyle w:val="TA"/>
      </w:pPr>
      <w:r>
        <w:t xml:space="preserve">Provide students with the following definitions: </w:t>
      </w:r>
      <w:r>
        <w:rPr>
          <w:i/>
        </w:rPr>
        <w:t>reprisals</w:t>
      </w:r>
      <w:r>
        <w:t xml:space="preserve"> means “acts or instances of retaliation,” </w:t>
      </w:r>
      <w:r w:rsidRPr="00B06E04">
        <w:rPr>
          <w:i/>
        </w:rPr>
        <w:t>oppressors</w:t>
      </w:r>
      <w:r>
        <w:t xml:space="preserve"> means “people who burden others with cruelty,”</w:t>
      </w:r>
      <w:r>
        <w:rPr>
          <w:i/>
        </w:rPr>
        <w:t xml:space="preserve"> </w:t>
      </w:r>
      <w:r w:rsidRPr="00FC4A99">
        <w:rPr>
          <w:i/>
        </w:rPr>
        <w:t>tyrants</w:t>
      </w:r>
      <w:r>
        <w:t xml:space="preserve"> means “any people in positions of authority who use power unjustly,”</w:t>
      </w:r>
      <w:r>
        <w:rPr>
          <w:i/>
        </w:rPr>
        <w:t xml:space="preserve"> </w:t>
      </w:r>
      <w:r w:rsidRPr="00FC4A99">
        <w:rPr>
          <w:i/>
        </w:rPr>
        <w:t>vanquish</w:t>
      </w:r>
      <w:r>
        <w:t xml:space="preserve"> means “to conquer by superior force; to overcome or overpower,”</w:t>
      </w:r>
      <w:r>
        <w:rPr>
          <w:i/>
        </w:rPr>
        <w:t xml:space="preserve"> </w:t>
      </w:r>
      <w:r w:rsidRPr="00FC4A99">
        <w:rPr>
          <w:i/>
        </w:rPr>
        <w:t>weaned</w:t>
      </w:r>
      <w:r>
        <w:t xml:space="preserve"> means “to be withdrawn from some object, habit, form of enjoyment, or the like,” </w:t>
      </w:r>
      <w:r>
        <w:rPr>
          <w:i/>
        </w:rPr>
        <w:t>pass</w:t>
      </w:r>
      <w:r w:rsidRPr="00FC4A99">
        <w:rPr>
          <w:i/>
        </w:rPr>
        <w:t>ive</w:t>
      </w:r>
      <w:r>
        <w:t xml:space="preserve"> means “used to describe someone who allows things to happen or who accepts what other people do or decide without trying to change anything,”</w:t>
      </w:r>
      <w:r>
        <w:rPr>
          <w:i/>
        </w:rPr>
        <w:t xml:space="preserve"> </w:t>
      </w:r>
      <w:r w:rsidRPr="00FC4A99">
        <w:rPr>
          <w:i/>
        </w:rPr>
        <w:t>ultimatum</w:t>
      </w:r>
      <w:r>
        <w:t xml:space="preserve"> means “a final, uncompromising demand or set of terms; a final proposal or statement of conditions.”</w:t>
      </w:r>
    </w:p>
    <w:p w:rsidR="000E1FF7" w:rsidRDefault="00A3290F" w:rsidP="00A3290F">
      <w:pPr>
        <w:pStyle w:val="SA"/>
        <w:numPr>
          <w:ilvl w:val="0"/>
          <w:numId w:val="1"/>
        </w:numPr>
      </w:pPr>
      <w:r>
        <w:t xml:space="preserve">Students write the definitions of </w:t>
      </w:r>
      <w:r>
        <w:rPr>
          <w:i/>
        </w:rPr>
        <w:t xml:space="preserve">reprisals, oppressors, tyrants, </w:t>
      </w:r>
      <w:proofErr w:type="gramStart"/>
      <w:r>
        <w:rPr>
          <w:i/>
        </w:rPr>
        <w:t>vanquish,</w:t>
      </w:r>
      <w:proofErr w:type="gramEnd"/>
      <w:r>
        <w:rPr>
          <w:i/>
        </w:rPr>
        <w:t xml:space="preserve"> weaned, passive,</w:t>
      </w:r>
      <w:r>
        <w:t xml:space="preserve"> and </w:t>
      </w:r>
      <w:r>
        <w:rPr>
          <w:i/>
        </w:rPr>
        <w:t>ultimatum</w:t>
      </w:r>
      <w:r>
        <w:t xml:space="preserve"> on their copy of the text or in a vocabulary journal. Then s</w:t>
      </w:r>
      <w:r w:rsidR="000E1FF7">
        <w:t xml:space="preserve">tudents read “Satyagraha” independently. </w:t>
      </w:r>
    </w:p>
    <w:p w:rsidR="0040421A" w:rsidRDefault="00540CCD" w:rsidP="0040421A">
      <w:pPr>
        <w:pStyle w:val="TA"/>
      </w:pPr>
      <w:r>
        <w:t>Instruct student pairs to answer the following questions before sharing out with the class</w:t>
      </w:r>
      <w:r w:rsidR="00F178AA">
        <w:t>.</w:t>
      </w:r>
    </w:p>
    <w:p w:rsidR="000E1FF7" w:rsidRDefault="00732D97" w:rsidP="000E1FF7">
      <w:pPr>
        <w:pStyle w:val="Q"/>
      </w:pPr>
      <w:r>
        <w:t>How do the authors define “S</w:t>
      </w:r>
      <w:r w:rsidR="000E1FF7">
        <w:t>atyagraha”?</w:t>
      </w:r>
    </w:p>
    <w:p w:rsidR="00BF1EE8" w:rsidRDefault="00BF1EE8" w:rsidP="000E1FF7">
      <w:pPr>
        <w:pStyle w:val="SR"/>
      </w:pPr>
      <w:r>
        <w:t>Student responses may include:</w:t>
      </w:r>
    </w:p>
    <w:p w:rsidR="00BF1EE8" w:rsidRDefault="00E83576" w:rsidP="00BF1EE8">
      <w:pPr>
        <w:pStyle w:val="SASRBullet"/>
      </w:pPr>
      <w:r>
        <w:t xml:space="preserve">The authors </w:t>
      </w:r>
      <w:r w:rsidR="00E97BAC">
        <w:t xml:space="preserve">define </w:t>
      </w:r>
      <w:r w:rsidR="000E1FF7">
        <w:t xml:space="preserve">Satyagraha </w:t>
      </w:r>
      <w:r>
        <w:t xml:space="preserve">as resistance through inner courage </w:t>
      </w:r>
      <w:r w:rsidR="00E74E9A">
        <w:t>with the goal of “convinc[ing]</w:t>
      </w:r>
      <w:r w:rsidR="00E97BAC">
        <w:t xml:space="preserve"> or convert</w:t>
      </w:r>
      <w:r w:rsidR="00E74E9A">
        <w:t>[ing]</w:t>
      </w:r>
      <w:r w:rsidR="00B84797">
        <w:t xml:space="preserve"> the opponent</w:t>
      </w:r>
      <w:r w:rsidR="00E97BAC">
        <w:t xml:space="preserve"> </w:t>
      </w:r>
      <w:r w:rsidR="00B84797">
        <w:t>[</w:t>
      </w:r>
      <w:r w:rsidR="00E97BAC">
        <w:t>through</w:t>
      </w:r>
      <w:r w:rsidR="00B84797">
        <w:t>]</w:t>
      </w:r>
      <w:r w:rsidR="00BF1EE8">
        <w:t xml:space="preserve"> </w:t>
      </w:r>
      <w:r w:rsidR="00E97BAC">
        <w:t>patience and sympathy” rather than physical violence</w:t>
      </w:r>
      <w:r w:rsidR="00BF1EE8">
        <w:t xml:space="preserve"> (p. 123)</w:t>
      </w:r>
      <w:r w:rsidR="00E97BAC">
        <w:t xml:space="preserve">. </w:t>
      </w:r>
    </w:p>
    <w:p w:rsidR="00BF1EE8" w:rsidRDefault="00E83576" w:rsidP="00BF1EE8">
      <w:pPr>
        <w:pStyle w:val="SASRBullet"/>
      </w:pPr>
      <w:r>
        <w:t xml:space="preserve">It is </w:t>
      </w:r>
      <w:r w:rsidR="00E97BAC">
        <w:t xml:space="preserve">described as </w:t>
      </w:r>
      <w:r w:rsidR="000E1FF7">
        <w:t>“the opposite of the idea that a human being can be made into property by someone else’s laws,</w:t>
      </w:r>
      <w:r w:rsidR="00F178AA">
        <w:t xml:space="preserve"> or guns, or prejudice”</w:t>
      </w:r>
      <w:r w:rsidR="00BF1EE8">
        <w:t xml:space="preserve"> (p. 123).</w:t>
      </w:r>
      <w:r w:rsidR="000E1FF7">
        <w:t xml:space="preserve"> </w:t>
      </w:r>
    </w:p>
    <w:p w:rsidR="000E1FF7" w:rsidRDefault="00E83576" w:rsidP="00BF1EE8">
      <w:pPr>
        <w:pStyle w:val="SASRBullet"/>
      </w:pPr>
      <w:r>
        <w:t xml:space="preserve">It is also defined </w:t>
      </w:r>
      <w:r w:rsidR="000E1FF7">
        <w:t xml:space="preserve">as “truth </w:t>
      </w:r>
      <w:r>
        <w:t>with force</w:t>
      </w:r>
      <w:r w:rsidR="000E1FF7">
        <w:t>,</w:t>
      </w:r>
      <w:r>
        <w:t>”</w:t>
      </w:r>
      <w:r w:rsidR="000E1FF7">
        <w:t xml:space="preserve"> </w:t>
      </w:r>
      <w:r>
        <w:t>“</w:t>
      </w:r>
      <w:r w:rsidR="000E1FF7">
        <w:t>fi</w:t>
      </w:r>
      <w:r>
        <w:t>rmness</w:t>
      </w:r>
      <w:r w:rsidR="00BF1EE8">
        <w:t>,</w:t>
      </w:r>
      <w:r w:rsidR="00F178AA">
        <w:t>” or “love force”</w:t>
      </w:r>
      <w:r>
        <w:t xml:space="preserve"> </w:t>
      </w:r>
      <w:r w:rsidR="000E1FF7">
        <w:t xml:space="preserve">(p. 123). </w:t>
      </w:r>
    </w:p>
    <w:p w:rsidR="000E1FF7" w:rsidRDefault="000E1FF7" w:rsidP="00330460">
      <w:pPr>
        <w:pStyle w:val="Q"/>
      </w:pPr>
      <w:r>
        <w:t>Define the concepts of “passive resistance” (p. 123) and “noncooperation” (</w:t>
      </w:r>
      <w:r w:rsidR="00A3290F">
        <w:t xml:space="preserve">p. </w:t>
      </w:r>
      <w:r>
        <w:t xml:space="preserve">124). Use the historical examples from “Satyagraha” to support your response. </w:t>
      </w:r>
    </w:p>
    <w:p w:rsidR="00A3290F" w:rsidRDefault="00A3290F" w:rsidP="00330460">
      <w:pPr>
        <w:pStyle w:val="SR"/>
      </w:pPr>
      <w:r>
        <w:t>Student responses may include:</w:t>
      </w:r>
    </w:p>
    <w:p w:rsidR="00A3290F" w:rsidRDefault="000E1FF7" w:rsidP="00A3290F">
      <w:pPr>
        <w:pStyle w:val="SASRBullet"/>
      </w:pPr>
      <w:r>
        <w:t>“</w:t>
      </w:r>
      <w:r w:rsidR="00706B49">
        <w:t>P</w:t>
      </w:r>
      <w:r>
        <w:t xml:space="preserve">assive resistance” </w:t>
      </w:r>
      <w:r w:rsidR="00706B49">
        <w:t>means</w:t>
      </w:r>
      <w:r>
        <w:t xml:space="preserve"> “non-violence,” as practiced on September 11, 1906, in the Empire Theater in </w:t>
      </w:r>
      <w:r w:rsidR="00732D97">
        <w:t>Johannesburg</w:t>
      </w:r>
      <w:r>
        <w:t xml:space="preserve"> when Gandhi “invited each person in the theater to join him in an exceptional oath, a pledge not to register, not to accept the government’s rules” (p</w:t>
      </w:r>
      <w:r w:rsidR="00A3290F">
        <w:t>p</w:t>
      </w:r>
      <w:r>
        <w:t>.</w:t>
      </w:r>
      <w:r w:rsidR="00A3290F">
        <w:t xml:space="preserve"> </w:t>
      </w:r>
      <w:r>
        <w:t>122</w:t>
      </w:r>
      <w:r w:rsidR="00A3290F">
        <w:t>–</w:t>
      </w:r>
      <w:r>
        <w:t xml:space="preserve">123). </w:t>
      </w:r>
    </w:p>
    <w:p w:rsidR="000E1FF7" w:rsidRDefault="000E1FF7" w:rsidP="00A3290F">
      <w:pPr>
        <w:pStyle w:val="SASRBullet"/>
      </w:pPr>
      <w:r>
        <w:t>“</w:t>
      </w:r>
      <w:r w:rsidR="00706B49">
        <w:t>N</w:t>
      </w:r>
      <w:r>
        <w:t xml:space="preserve">oncooperation” </w:t>
      </w:r>
      <w:r w:rsidR="00706B49">
        <w:t xml:space="preserve">means </w:t>
      </w:r>
      <w:r>
        <w:t xml:space="preserve">the refusal to participate, such as when Gandhi “told Indians not to buy goods manufactured by their colonial master” (p. 124). </w:t>
      </w:r>
    </w:p>
    <w:p w:rsidR="000E1FF7" w:rsidRDefault="000E1FF7" w:rsidP="00330460">
      <w:pPr>
        <w:pStyle w:val="Q"/>
      </w:pPr>
      <w:r>
        <w:t xml:space="preserve">How do the central ideas of Gandhi’s “Satyagraha” compare to the ideas that sparked revolutions in Haiti and British Guiana? </w:t>
      </w:r>
    </w:p>
    <w:p w:rsidR="00A3290F" w:rsidRDefault="00A3290F" w:rsidP="00330460">
      <w:pPr>
        <w:pStyle w:val="SR"/>
      </w:pPr>
      <w:r>
        <w:t xml:space="preserve">Student responses may include: </w:t>
      </w:r>
    </w:p>
    <w:p w:rsidR="00AF2345" w:rsidRDefault="000E1FF7" w:rsidP="00A3290F">
      <w:pPr>
        <w:pStyle w:val="SASRBullet"/>
      </w:pPr>
      <w:r>
        <w:t>Gandhi’s Satyagraha</w:t>
      </w:r>
      <w:r w:rsidR="00706B49">
        <w:t xml:space="preserve"> was </w:t>
      </w:r>
      <w:r>
        <w:t xml:space="preserve">a non-violent revolution based on the central idea of “passive resistance” (p. 123). </w:t>
      </w:r>
      <w:r w:rsidR="001A17E9">
        <w:t xml:space="preserve">This concept stands in </w:t>
      </w:r>
      <w:r w:rsidR="00FB7B90">
        <w:t xml:space="preserve">contrast </w:t>
      </w:r>
      <w:r w:rsidR="001A17E9">
        <w:t xml:space="preserve">to </w:t>
      </w:r>
      <w:r>
        <w:t>“defeat[ing] and vanquish[ing] the enemy” (p.</w:t>
      </w:r>
      <w:r w:rsidR="00A3290F">
        <w:t xml:space="preserve"> </w:t>
      </w:r>
      <w:r>
        <w:t>123) that sparked the “bloody trail” of “gruesome revenge” in earlier revolutions like tho</w:t>
      </w:r>
      <w:r w:rsidR="00185EA6">
        <w:t>se in Haiti and British Guiana.</w:t>
      </w:r>
      <w:r w:rsidR="00A83024">
        <w:t xml:space="preserve"> </w:t>
      </w:r>
    </w:p>
    <w:p w:rsidR="00AF2345" w:rsidRDefault="00AF2345" w:rsidP="00A3290F">
      <w:pPr>
        <w:pStyle w:val="SASRBullet"/>
      </w:pPr>
      <w:r>
        <w:t xml:space="preserve">Satyagraha is defined by the goal of “convinc[ing] or convert[ing] the opponent” without the use of violence. </w:t>
      </w:r>
      <w:r w:rsidR="00185EA6">
        <w:t xml:space="preserve">In </w:t>
      </w:r>
      <w:r>
        <w:t>Haiti and British Guiana</w:t>
      </w:r>
      <w:r w:rsidR="00185EA6">
        <w:t xml:space="preserve">, </w:t>
      </w:r>
      <w:r w:rsidR="000E1FF7">
        <w:t>workers fought the violence of sugar work by being “harder, tougher, and more willing to accept bloodshed than the owners” (p. 122).</w:t>
      </w:r>
    </w:p>
    <w:p w:rsidR="000E1FF7" w:rsidRDefault="00FB7B90" w:rsidP="00A3290F">
      <w:pPr>
        <w:pStyle w:val="SASRBullet"/>
      </w:pPr>
      <w:r>
        <w:t xml:space="preserve">While earlier revolutions relied on violence to overcome hardship, </w:t>
      </w:r>
      <w:r w:rsidR="000E1FF7">
        <w:t>Satyag</w:t>
      </w:r>
      <w:r>
        <w:t>raha is based on the idea that freedom</w:t>
      </w:r>
      <w:r w:rsidR="000E1FF7">
        <w:t xml:space="preserve"> does not only “come from rising up</w:t>
      </w:r>
      <w:r>
        <w:t xml:space="preserve"> against oppressors or tyrants”</w:t>
      </w:r>
      <w:r w:rsidR="000E1FF7">
        <w:t xml:space="preserve"> but is also “found in oneself” (p. 122).</w:t>
      </w:r>
    </w:p>
    <w:p w:rsidR="000E1FF7" w:rsidRDefault="004572D3" w:rsidP="00330460">
      <w:pPr>
        <w:pStyle w:val="IN"/>
      </w:pPr>
      <w:r>
        <w:t xml:space="preserve">Consider providing </w:t>
      </w:r>
      <w:r w:rsidR="000E1FF7">
        <w:t>time for students to review “The Sound of Liberty” (pp.</w:t>
      </w:r>
      <w:r w:rsidR="001C5DF7">
        <w:t xml:space="preserve"> </w:t>
      </w:r>
      <w:r w:rsidR="000E1FF7">
        <w:t>83</w:t>
      </w:r>
      <w:r w:rsidR="001C5DF7">
        <w:t>–</w:t>
      </w:r>
      <w:r w:rsidR="000E1FF7">
        <w:t>91</w:t>
      </w:r>
      <w:r w:rsidR="0037106D">
        <w:t xml:space="preserve">) and </w:t>
      </w:r>
      <w:r w:rsidR="000E1FF7">
        <w:t>their notes and annotations for that section.</w:t>
      </w:r>
    </w:p>
    <w:p w:rsidR="000E1FF7" w:rsidRDefault="000E1FF7" w:rsidP="00330460">
      <w:pPr>
        <w:pStyle w:val="Q"/>
      </w:pPr>
      <w:r>
        <w:t xml:space="preserve">What connection </w:t>
      </w:r>
      <w:r w:rsidR="00813621">
        <w:t>do the authors establish</w:t>
      </w:r>
      <w:r>
        <w:t xml:space="preserve"> between the global sugar trade and Satyagraha in South Africa and India? </w:t>
      </w:r>
    </w:p>
    <w:p w:rsidR="000E1FF7" w:rsidRDefault="008917BC" w:rsidP="00330460">
      <w:pPr>
        <w:pStyle w:val="SR"/>
      </w:pPr>
      <w:r>
        <w:t xml:space="preserve">While the </w:t>
      </w:r>
      <w:r w:rsidR="000E1FF7">
        <w:t>global sugar trade “tu</w:t>
      </w:r>
      <w:r>
        <w:t>rned human beings into property” Satyagraha</w:t>
      </w:r>
      <w:r w:rsidR="000E1FF7">
        <w:t xml:space="preserve"> led people to reject the idea that any person could be owned by another” (p. 125)</w:t>
      </w:r>
      <w:r w:rsidR="001C5DF7">
        <w:t>.</w:t>
      </w:r>
      <w:r w:rsidR="000E1FF7">
        <w:t xml:space="preserve"> </w:t>
      </w:r>
    </w:p>
    <w:p w:rsidR="000E1FF7" w:rsidRDefault="000E1FF7" w:rsidP="00330460">
      <w:pPr>
        <w:pStyle w:val="Q"/>
      </w:pPr>
      <w:r>
        <w:t xml:space="preserve">Why might the authors choose to conclude </w:t>
      </w:r>
      <w:r>
        <w:rPr>
          <w:i/>
        </w:rPr>
        <w:t xml:space="preserve">Sugar Changed the World </w:t>
      </w:r>
      <w:r>
        <w:t xml:space="preserve">with an exploration of Satyagraha? </w:t>
      </w:r>
    </w:p>
    <w:p w:rsidR="001C5DF7" w:rsidRDefault="001C5DF7" w:rsidP="00330460">
      <w:pPr>
        <w:pStyle w:val="SR"/>
      </w:pPr>
      <w:r>
        <w:t>Student responses may include:</w:t>
      </w:r>
    </w:p>
    <w:p w:rsidR="001C5DF7" w:rsidRDefault="00706B49" w:rsidP="001C5DF7">
      <w:pPr>
        <w:pStyle w:val="SASRBullet"/>
      </w:pPr>
      <w:r>
        <w:t>T</w:t>
      </w:r>
      <w:r w:rsidR="000E1FF7">
        <w:t xml:space="preserve">he authors </w:t>
      </w:r>
      <w:r w:rsidR="003A5FF3">
        <w:t xml:space="preserve">may have </w:t>
      </w:r>
      <w:r w:rsidR="000E1FF7">
        <w:t>chose</w:t>
      </w:r>
      <w:r w:rsidR="003A5FF3">
        <w:t>n</w:t>
      </w:r>
      <w:r w:rsidR="000E1FF7">
        <w:t xml:space="preserve"> </w:t>
      </w:r>
      <w:r w:rsidR="003248C9">
        <w:t xml:space="preserve">to </w:t>
      </w:r>
      <w:r w:rsidR="003A5FF3">
        <w:t xml:space="preserve">conclude </w:t>
      </w:r>
      <w:r w:rsidR="000E1FF7">
        <w:t xml:space="preserve">the text with an exploration of Satyagraha </w:t>
      </w:r>
      <w:r w:rsidR="007A66B8">
        <w:t xml:space="preserve">as an </w:t>
      </w:r>
      <w:r w:rsidR="000E1FF7">
        <w:t xml:space="preserve">example of positive change </w:t>
      </w:r>
      <w:r w:rsidR="003A5FF3">
        <w:t>that arose out of intense and brutal struggle.</w:t>
      </w:r>
      <w:r w:rsidR="00A83024">
        <w:t xml:space="preserve"> </w:t>
      </w:r>
    </w:p>
    <w:p w:rsidR="000E1FF7" w:rsidRDefault="003D50B4" w:rsidP="001C5DF7">
      <w:pPr>
        <w:pStyle w:val="SASRBullet"/>
      </w:pPr>
      <w:r>
        <w:t>This section of text signals the end of the slavery and</w:t>
      </w:r>
      <w:r w:rsidR="004E4C52">
        <w:t xml:space="preserve"> indentured servitude,</w:t>
      </w:r>
      <w:r w:rsidR="003A5FF3">
        <w:t xml:space="preserve"> </w:t>
      </w:r>
      <w:r w:rsidR="004E4C52">
        <w:t xml:space="preserve">concluding the brutal history of slavery and sugar on a positive note while ushering in a new era in which </w:t>
      </w:r>
      <w:r w:rsidR="001C5DF7">
        <w:t>people continue to work for freedom</w:t>
      </w:r>
      <w:r w:rsidR="000E1FF7">
        <w:t xml:space="preserve">. </w:t>
      </w:r>
    </w:p>
    <w:p w:rsidR="00707670" w:rsidRDefault="000E1FF7" w:rsidP="00707670">
      <w:pPr>
        <w:pStyle w:val="TA"/>
      </w:pPr>
      <w:r>
        <w:t>Lead a brief whole-class discussion of student responses.</w:t>
      </w:r>
    </w:p>
    <w:p w:rsidR="00707670" w:rsidRDefault="00707670" w:rsidP="00191EE7">
      <w:pPr>
        <w:pStyle w:val="LearningSequenceHeader"/>
        <w:keepNext/>
      </w:pPr>
      <w:r>
        <w:t>Activity 4</w:t>
      </w:r>
      <w:r w:rsidR="000E1FF7">
        <w:t xml:space="preserve">: Unfolding Analysis Activity </w:t>
      </w:r>
      <w:r w:rsidR="000E1FF7">
        <w:tab/>
        <w:t>35</w:t>
      </w:r>
      <w:r w:rsidRPr="00707670">
        <w:t>%</w:t>
      </w:r>
    </w:p>
    <w:p w:rsidR="00517DC5" w:rsidRDefault="001C5DF7" w:rsidP="00517DC5">
      <w:pPr>
        <w:pStyle w:val="TA"/>
      </w:pPr>
      <w:r>
        <w:t>Instruct students to re</w:t>
      </w:r>
      <w:r w:rsidR="00517DC5">
        <w:t xml:space="preserve">read the final two paragraphs </w:t>
      </w:r>
      <w:r>
        <w:t xml:space="preserve">of “Satyagraha” (p. 125) </w:t>
      </w:r>
      <w:r w:rsidR="00517DC5">
        <w:t xml:space="preserve">in their groups. Post or project the following question to focus student reading: </w:t>
      </w:r>
    </w:p>
    <w:p w:rsidR="00517DC5" w:rsidRDefault="00517DC5" w:rsidP="00517DC5">
      <w:pPr>
        <w:pStyle w:val="Q"/>
      </w:pPr>
      <w:r>
        <w:t xml:space="preserve">What central claim(s) </w:t>
      </w:r>
      <w:r w:rsidR="003248C9">
        <w:t>do the authors make</w:t>
      </w:r>
      <w:r>
        <w:t xml:space="preserve"> in the final two paragraphs of “Satyagraha”? </w:t>
      </w:r>
    </w:p>
    <w:p w:rsidR="00517DC5" w:rsidRDefault="00517DC5" w:rsidP="00517DC5">
      <w:pPr>
        <w:pStyle w:val="SR"/>
      </w:pPr>
      <w:r>
        <w:t>Student</w:t>
      </w:r>
      <w:r w:rsidR="00706B49">
        <w:t xml:space="preserve"> responses</w:t>
      </w:r>
      <w:r>
        <w:t xml:space="preserve"> should identify the following claims:</w:t>
      </w:r>
    </w:p>
    <w:p w:rsidR="00517DC5" w:rsidRDefault="00517DC5" w:rsidP="00517DC5">
      <w:pPr>
        <w:pStyle w:val="SASRBullet"/>
      </w:pPr>
      <w:r>
        <w:t>“Sugar turned human beings into property, yet sugar led people to reject the idea that any person could be owned by another</w:t>
      </w:r>
      <w:r w:rsidR="001C5DF7">
        <w:t>.</w:t>
      </w:r>
      <w:r>
        <w:t>” (p. 125)</w:t>
      </w:r>
    </w:p>
    <w:p w:rsidR="00517DC5" w:rsidRDefault="00517DC5" w:rsidP="00517DC5">
      <w:pPr>
        <w:pStyle w:val="SASRBullet"/>
      </w:pPr>
      <w:r>
        <w:t>“Sugar murdered millions, and yet it gave the voiceless a way to speak</w:t>
      </w:r>
      <w:r w:rsidR="001C5DF7">
        <w:t>.</w:t>
      </w:r>
      <w:r>
        <w:t>” (p. 125)</w:t>
      </w:r>
    </w:p>
    <w:p w:rsidR="00517DC5" w:rsidRDefault="00517DC5" w:rsidP="00517DC5">
      <w:pPr>
        <w:pStyle w:val="SASRBullet"/>
      </w:pPr>
      <w:r>
        <w:t>“Sugar crushed people, and yet it was because of sugar that Gandhi began his experiment in truth</w:t>
      </w:r>
      <w:r w:rsidR="001C5DF7">
        <w:t>—</w:t>
      </w:r>
      <w:r>
        <w:t>so that every individual could free him</w:t>
      </w:r>
      <w:r w:rsidR="001C5DF7">
        <w:t>-</w:t>
      </w:r>
      <w:r>
        <w:t xml:space="preserve"> or herself.” (p. 125)</w:t>
      </w:r>
    </w:p>
    <w:p w:rsidR="00517DC5" w:rsidRDefault="001C5DF7" w:rsidP="00517DC5">
      <w:pPr>
        <w:pStyle w:val="SASRBullet"/>
      </w:pPr>
      <w:r>
        <w:t>“Only sugar—</w:t>
      </w:r>
      <w:r w:rsidR="00517DC5">
        <w:t>the sweetness we all crave</w:t>
      </w:r>
      <w:r>
        <w:t>—</w:t>
      </w:r>
      <w:r w:rsidR="00517DC5">
        <w:t>could drive people to be so cruel, and to combat all forms of cruelty</w:t>
      </w:r>
      <w:r>
        <w:t>.” (p. 125)</w:t>
      </w:r>
      <w:r w:rsidR="00517DC5">
        <w:t xml:space="preserve"> </w:t>
      </w:r>
    </w:p>
    <w:p w:rsidR="00517DC5" w:rsidRDefault="00517DC5" w:rsidP="00517DC5">
      <w:pPr>
        <w:pStyle w:val="SASRBullet"/>
      </w:pPr>
      <w:r>
        <w:t>“this one substance forever marked our history” (p. 126)</w:t>
      </w:r>
    </w:p>
    <w:p w:rsidR="003248C9" w:rsidRDefault="00517DC5" w:rsidP="00517DC5">
      <w:pPr>
        <w:pStyle w:val="SASRBullet"/>
      </w:pPr>
      <w:r>
        <w:t>“Every day, we live</w:t>
      </w:r>
      <w:r w:rsidR="003C2F39">
        <w:t xml:space="preserve"> in the world sugar created…</w:t>
      </w:r>
      <w:r>
        <w:t>where equality...exists in each one of us. That is the sweet truth bought at th</w:t>
      </w:r>
      <w:r w:rsidR="003248C9">
        <w:t>e price of so much bitter pain</w:t>
      </w:r>
      <w:r w:rsidR="001C5DF7">
        <w:t>.</w:t>
      </w:r>
      <w:r w:rsidR="003248C9">
        <w:t>” (p.</w:t>
      </w:r>
      <w:r w:rsidR="001C5DF7">
        <w:t xml:space="preserve"> </w:t>
      </w:r>
      <w:r w:rsidR="003248C9">
        <w:t>126)</w:t>
      </w:r>
    </w:p>
    <w:p w:rsidR="00517DC5" w:rsidRDefault="001C5DF7" w:rsidP="00517DC5">
      <w:pPr>
        <w:pStyle w:val="SASRBullet"/>
      </w:pPr>
      <w:r>
        <w:t>“</w:t>
      </w:r>
      <w:r w:rsidR="00517DC5">
        <w:t>Sug</w:t>
      </w:r>
      <w:r>
        <w:t>ar changed the world.” (p. 126)</w:t>
      </w:r>
      <w:r w:rsidR="00517DC5">
        <w:t xml:space="preserve"> </w:t>
      </w:r>
    </w:p>
    <w:p w:rsidR="00517DC5" w:rsidRDefault="00517DC5" w:rsidP="00517DC5">
      <w:pPr>
        <w:pStyle w:val="TA"/>
      </w:pPr>
      <w:r>
        <w:t>Distribute copies of the Unfolding Analysis Tool</w:t>
      </w:r>
      <w:r w:rsidR="00660852">
        <w:t>: Connecting Ideas</w:t>
      </w:r>
      <w:r>
        <w:t xml:space="preserve">. Explain to students that </w:t>
      </w:r>
      <w:r w:rsidR="00B913D8">
        <w:t xml:space="preserve">they </w:t>
      </w:r>
      <w:r w:rsidR="002F5367">
        <w:t>are to</w:t>
      </w:r>
      <w:r>
        <w:t xml:space="preserve"> build upon their analysis of “Satyagraha” by exploring how the authors’ choice to conclude the text with this passage shapes and refines central claims developed throughout </w:t>
      </w:r>
      <w:r>
        <w:rPr>
          <w:i/>
        </w:rPr>
        <w:t>Sugar Changed the World</w:t>
      </w:r>
      <w:r>
        <w:t xml:space="preserve">. Instruct students to select one of the central claims they identified in the final two paragraphs of “Satyagraha” and fill in the “Central Claim from ‘Satyagraha’” section on their tool. Instruct students that they should return to the sections identified on this tool to make connections between this central claim in “Satyagraha” and the </w:t>
      </w:r>
      <w:r w:rsidR="00C674A7">
        <w:t>claims</w:t>
      </w:r>
      <w:r>
        <w:t xml:space="preserve"> in previous sections of </w:t>
      </w:r>
      <w:r>
        <w:rPr>
          <w:i/>
        </w:rPr>
        <w:t>Sugar Changed the World.</w:t>
      </w:r>
      <w:r>
        <w:t xml:space="preserve"> </w:t>
      </w:r>
    </w:p>
    <w:p w:rsidR="00517DC5" w:rsidRDefault="00991718" w:rsidP="00517DC5">
      <w:pPr>
        <w:pStyle w:val="IN"/>
      </w:pPr>
      <w:r w:rsidRPr="00991718">
        <w:rPr>
          <w:b/>
        </w:rPr>
        <w:t>Differentiation Consideration</w:t>
      </w:r>
      <w:r>
        <w:t xml:space="preserve">: </w:t>
      </w:r>
      <w:r w:rsidR="00517DC5">
        <w:t xml:space="preserve">If students need additional support working with this tool, consider modeling one row as a class. </w:t>
      </w:r>
    </w:p>
    <w:p w:rsidR="003740A6" w:rsidRDefault="007A1141" w:rsidP="00517DC5">
      <w:pPr>
        <w:pStyle w:val="IN"/>
      </w:pPr>
      <w:r>
        <w:t>The Unfolding Analysis Tool</w:t>
      </w:r>
      <w:r w:rsidR="00660852">
        <w:t>: Connecting Ideas</w:t>
      </w:r>
      <w:r>
        <w:t xml:space="preserve"> </w:t>
      </w:r>
      <w:r w:rsidR="003740A6">
        <w:t xml:space="preserve">supports student’s engagement with RI.9-10.3. </w:t>
      </w:r>
      <w:r>
        <w:t xml:space="preserve">Variations of this tool appear in Lessons 3, 11, and 15. </w:t>
      </w:r>
      <w:r w:rsidR="003740A6">
        <w:t>The structure of and quest</w:t>
      </w:r>
      <w:r>
        <w:t xml:space="preserve">ions in this tool vary based on the section of text under analysis, including its placement in the text as a whole, and </w:t>
      </w:r>
      <w:r w:rsidR="003740A6">
        <w:t>whether students analyze a series</w:t>
      </w:r>
      <w:r>
        <w:t xml:space="preserve"> of ideas or a series of events. </w:t>
      </w:r>
    </w:p>
    <w:p w:rsidR="00517DC5" w:rsidRDefault="00517DC5" w:rsidP="00517DC5">
      <w:pPr>
        <w:pStyle w:val="SA"/>
      </w:pPr>
      <w:r>
        <w:t>Students review the Unfolding Analysis Tool and listen.</w:t>
      </w:r>
    </w:p>
    <w:p w:rsidR="00517DC5" w:rsidRDefault="00517DC5" w:rsidP="00517DC5">
      <w:pPr>
        <w:pStyle w:val="SR"/>
      </w:pPr>
      <w:r>
        <w:t xml:space="preserve"> See </w:t>
      </w:r>
      <w:r w:rsidR="00C674A7">
        <w:t xml:space="preserve">the </w:t>
      </w:r>
      <w:r>
        <w:t>Model Unfolding Analysis Tool</w:t>
      </w:r>
      <w:r w:rsidR="00660852">
        <w:t>: Connecting Ideas</w:t>
      </w:r>
      <w:r>
        <w:t xml:space="preserve"> for </w:t>
      </w:r>
      <w:r w:rsidR="00C674A7">
        <w:t>sample student r</w:t>
      </w:r>
      <w:r>
        <w:t>esponse</w:t>
      </w:r>
      <w:r w:rsidR="00C674A7">
        <w:t>s</w:t>
      </w:r>
      <w:r>
        <w:t xml:space="preserve">. </w:t>
      </w:r>
    </w:p>
    <w:p w:rsidR="00517DC5" w:rsidRDefault="00D47EC4" w:rsidP="00517DC5">
      <w:pPr>
        <w:pStyle w:val="IN"/>
      </w:pPr>
      <w:r w:rsidRPr="00991718">
        <w:rPr>
          <w:b/>
        </w:rPr>
        <w:t>Differentiation Consideration</w:t>
      </w:r>
      <w:r>
        <w:t xml:space="preserve">: Consider having </w:t>
      </w:r>
      <w:r w:rsidR="00517DC5">
        <w:t>students complete t</w:t>
      </w:r>
      <w:r w:rsidR="00B854DE">
        <w:t>his tool in groups for support</w:t>
      </w:r>
      <w:r w:rsidR="00517DC5">
        <w:t>.</w:t>
      </w:r>
    </w:p>
    <w:p w:rsidR="00707670" w:rsidRDefault="00707670" w:rsidP="00191EE7">
      <w:pPr>
        <w:pStyle w:val="LearningSequenceHeader"/>
        <w:keepNext/>
      </w:pPr>
      <w:r>
        <w:t>Activity 5</w:t>
      </w:r>
      <w:r w:rsidR="000E1FF7">
        <w:t xml:space="preserve">: </w:t>
      </w:r>
      <w:r w:rsidR="00D27639">
        <w:t>Quick Write</w:t>
      </w:r>
      <w:r w:rsidR="000E1FF7">
        <w:t xml:space="preserve"> </w:t>
      </w:r>
      <w:r w:rsidR="000E1FF7">
        <w:tab/>
        <w:t>10</w:t>
      </w:r>
      <w:r w:rsidRPr="00707670">
        <w:t>%</w:t>
      </w:r>
    </w:p>
    <w:p w:rsidR="00CE464C" w:rsidRDefault="00CE464C" w:rsidP="00CE464C">
      <w:pPr>
        <w:pStyle w:val="TA"/>
      </w:pPr>
      <w:r>
        <w:t>Instruct students to respond in writing to the following prompt</w:t>
      </w:r>
      <w:r w:rsidR="00FD1AB2">
        <w:t>:</w:t>
      </w:r>
    </w:p>
    <w:p w:rsidR="00CE464C" w:rsidRDefault="00CE464C" w:rsidP="00CE464C">
      <w:pPr>
        <w:pStyle w:val="Q"/>
      </w:pPr>
      <w:r>
        <w:t>How does the concluding section</w:t>
      </w:r>
      <w:r w:rsidR="00660852">
        <w:t>,</w:t>
      </w:r>
      <w:r>
        <w:t xml:space="preserve"> “Satyagraha</w:t>
      </w:r>
      <w:r w:rsidR="00660852">
        <w:t>,</w:t>
      </w:r>
      <w:r>
        <w:t xml:space="preserve">” refine a central claim developed throughout </w:t>
      </w:r>
      <w:r>
        <w:rPr>
          <w:i/>
        </w:rPr>
        <w:t>Sugar Changed the World</w:t>
      </w:r>
      <w:r>
        <w:t>?</w:t>
      </w:r>
      <w:r w:rsidR="00647858">
        <w:t xml:space="preserve"> </w:t>
      </w:r>
    </w:p>
    <w:p w:rsidR="00CE464C" w:rsidRDefault="00CE464C" w:rsidP="00CE464C">
      <w:pPr>
        <w:pStyle w:val="TA"/>
      </w:pPr>
      <w:r>
        <w:t xml:space="preserve">Instruct students to </w:t>
      </w:r>
      <w:r w:rsidR="00FD1AB2">
        <w:t xml:space="preserve">use </w:t>
      </w:r>
      <w:r>
        <w:t>their text</w:t>
      </w:r>
      <w:r w:rsidR="00FD1AB2">
        <w:t>s,</w:t>
      </w:r>
      <w:r>
        <w:t xml:space="preserve"> notes</w:t>
      </w:r>
      <w:r w:rsidR="00BA6D7A">
        <w:t>,</w:t>
      </w:r>
      <w:r>
        <w:t xml:space="preserve"> </w:t>
      </w:r>
      <w:r w:rsidR="00FD1AB2">
        <w:t xml:space="preserve">and completed tools </w:t>
      </w:r>
      <w:r>
        <w:t xml:space="preserve">to </w:t>
      </w:r>
      <w:r w:rsidR="00FD1AB2">
        <w:t>respond to the prompt</w:t>
      </w:r>
      <w:r>
        <w:t>. Ask students to use this lesson’s vocabulary wherever possible in their written responses.</w:t>
      </w:r>
      <w:r w:rsidR="007A1141">
        <w:t xml:space="preserve"> Remind students to use the Short Response Rubric and Checklist to guide their written responses.</w:t>
      </w:r>
    </w:p>
    <w:p w:rsidR="00CE464C" w:rsidRDefault="00CE464C" w:rsidP="00CE464C">
      <w:pPr>
        <w:pStyle w:val="IN"/>
      </w:pPr>
      <w:r>
        <w:t>Display the prompt for students to see, or provide the prompt in a hard copy.</w:t>
      </w:r>
    </w:p>
    <w:p w:rsidR="002A05CB" w:rsidRDefault="00706B49">
      <w:pPr>
        <w:pStyle w:val="SA"/>
      </w:pPr>
      <w:r>
        <w:t>Students follow along.</w:t>
      </w:r>
    </w:p>
    <w:p w:rsidR="00CE464C" w:rsidRDefault="00CE464C" w:rsidP="00CE464C">
      <w:pPr>
        <w:pStyle w:val="TA"/>
      </w:pPr>
      <w:proofErr w:type="gramStart"/>
      <w:r>
        <w:t xml:space="preserve">Transition students to the </w:t>
      </w:r>
      <w:r w:rsidR="00EA25AA">
        <w:t>independent Quick Write</w:t>
      </w:r>
      <w:r>
        <w:t>.</w:t>
      </w:r>
      <w:proofErr w:type="gramEnd"/>
    </w:p>
    <w:p w:rsidR="00CE464C" w:rsidRDefault="00CE464C" w:rsidP="00CE464C">
      <w:pPr>
        <w:pStyle w:val="SA"/>
      </w:pPr>
      <w:r>
        <w:t xml:space="preserve">Students independently answer the prompt, using evidence from the text. </w:t>
      </w:r>
    </w:p>
    <w:p w:rsidR="00707670" w:rsidRPr="00707670" w:rsidRDefault="00CE464C" w:rsidP="00707670">
      <w:pPr>
        <w:pStyle w:val="SR"/>
      </w:pPr>
      <w:r>
        <w:t xml:space="preserve">See the High Performance Response at the beginning of this lesson.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CE464C" w:rsidRDefault="00706B49" w:rsidP="00CE464C">
      <w:pPr>
        <w:pStyle w:val="TA"/>
      </w:pPr>
      <w:r>
        <w:t xml:space="preserve">Display and distribute the homework assignment. </w:t>
      </w:r>
      <w:r w:rsidR="00CE464C">
        <w:t>For homework, instruct students to read “How We Researched and Wrote This Book” (pp. 127</w:t>
      </w:r>
      <w:r w:rsidR="000A76D5">
        <w:t>–</w:t>
      </w:r>
      <w:r w:rsidR="00CE464C">
        <w:t xml:space="preserve">130). </w:t>
      </w:r>
      <w:proofErr w:type="gramStart"/>
      <w:r w:rsidR="00CE464C">
        <w:t>Direct students to box any unfamiliar words and look up their definitions.</w:t>
      </w:r>
      <w:proofErr w:type="gramEnd"/>
      <w:r w:rsidR="00CE464C">
        <w:t xml:space="preserve"> Instruct them to choose the definition that makes the most sense in the context, and write a brief definition above or near the word in the text. </w:t>
      </w:r>
    </w:p>
    <w:p w:rsidR="00CE464C" w:rsidRDefault="00CE464C" w:rsidP="00CE464C">
      <w:pPr>
        <w:pStyle w:val="SA"/>
      </w:pPr>
      <w:r>
        <w:t xml:space="preserve">Students </w:t>
      </w:r>
      <w:r w:rsidR="00706B49">
        <w:t xml:space="preserve">follow along. </w:t>
      </w:r>
    </w:p>
    <w:p w:rsidR="00C4787C" w:rsidRDefault="00C4787C" w:rsidP="00E946A0">
      <w:pPr>
        <w:pStyle w:val="Heading1"/>
      </w:pPr>
      <w:r>
        <w:t>Homework</w:t>
      </w:r>
    </w:p>
    <w:p w:rsidR="006E7D3C" w:rsidRPr="006E7D3C" w:rsidRDefault="00CE464C" w:rsidP="00B970F8">
      <w:r>
        <w:t>Read “How We Researched and Wrote This Book” (pp. 127</w:t>
      </w:r>
      <w:r w:rsidR="000A76D5">
        <w:t>–</w:t>
      </w:r>
      <w:r>
        <w:t>130). Box any unfamiliar words and l</w:t>
      </w:r>
      <w:r w:rsidR="00660852">
        <w:t>ook up their definitions, choosing the definition that makes the most sense in context. Write a brief definition above or near the word in the text.</w:t>
      </w:r>
    </w:p>
    <w:p w:rsidR="00CE464C" w:rsidRPr="006D2944" w:rsidRDefault="005837C5" w:rsidP="006D2944">
      <w:r w:rsidRPr="006D2944">
        <w:br w:type="page"/>
      </w:r>
    </w:p>
    <w:p w:rsidR="00CE464C" w:rsidRDefault="00CE464C" w:rsidP="00CE464C">
      <w:pPr>
        <w:pStyle w:val="ToolHeader"/>
      </w:pPr>
      <w:r>
        <w:t>Unfolding Analysis Tool</w:t>
      </w:r>
      <w:r w:rsidR="003740A6">
        <w:t>: Connecting Ideas</w:t>
      </w:r>
    </w:p>
    <w:tbl>
      <w:tblPr>
        <w:tblStyle w:val="TableGrid1"/>
        <w:tblW w:w="0" w:type="auto"/>
        <w:tblInd w:w="115" w:type="dxa"/>
        <w:tblLook w:val="04A0"/>
      </w:tblPr>
      <w:tblGrid>
        <w:gridCol w:w="820"/>
        <w:gridCol w:w="2780"/>
        <w:gridCol w:w="732"/>
        <w:gridCol w:w="3039"/>
        <w:gridCol w:w="720"/>
        <w:gridCol w:w="1370"/>
      </w:tblGrid>
      <w:tr w:rsidR="007F3A17" w:rsidRPr="007F3A17" w:rsidTr="00267BFB">
        <w:trPr>
          <w:trHeight w:val="557"/>
        </w:trPr>
        <w:tc>
          <w:tcPr>
            <w:tcW w:w="816" w:type="dxa"/>
            <w:shd w:val="clear" w:color="auto" w:fill="D9D9D9" w:themeFill="background1" w:themeFillShade="D9"/>
            <w:vAlign w:val="center"/>
          </w:tcPr>
          <w:p w:rsidR="007F3A17" w:rsidRPr="007F3A17" w:rsidRDefault="007F3A17" w:rsidP="007F3A17">
            <w:pPr>
              <w:pStyle w:val="TableText"/>
              <w:rPr>
                <w:b/>
              </w:rPr>
            </w:pPr>
            <w:r w:rsidRPr="007F3A17">
              <w:rPr>
                <w:b/>
              </w:rPr>
              <w:t>Name:</w:t>
            </w:r>
          </w:p>
        </w:tc>
        <w:tc>
          <w:tcPr>
            <w:tcW w:w="2786" w:type="dxa"/>
            <w:vAlign w:val="center"/>
          </w:tcPr>
          <w:p w:rsidR="007F3A17" w:rsidRPr="007F3A17" w:rsidRDefault="007F3A17" w:rsidP="007F3A17">
            <w:pPr>
              <w:pStyle w:val="TableText"/>
              <w:rPr>
                <w:b/>
              </w:rPr>
            </w:pPr>
          </w:p>
        </w:tc>
        <w:tc>
          <w:tcPr>
            <w:tcW w:w="728" w:type="dxa"/>
            <w:shd w:val="clear" w:color="auto" w:fill="D9D9D9" w:themeFill="background1" w:themeFillShade="D9"/>
            <w:vAlign w:val="center"/>
          </w:tcPr>
          <w:p w:rsidR="007F3A17" w:rsidRPr="007F3A17" w:rsidRDefault="007F3A17" w:rsidP="007F3A17">
            <w:pPr>
              <w:pStyle w:val="TableText"/>
              <w:rPr>
                <w:b/>
              </w:rPr>
            </w:pPr>
            <w:r w:rsidRPr="007F3A17">
              <w:rPr>
                <w:b/>
              </w:rPr>
              <w:t>Class:</w:t>
            </w:r>
          </w:p>
        </w:tc>
        <w:tc>
          <w:tcPr>
            <w:tcW w:w="3045" w:type="dxa"/>
            <w:vAlign w:val="center"/>
          </w:tcPr>
          <w:p w:rsidR="007F3A17" w:rsidRPr="007F3A17" w:rsidRDefault="007F3A17" w:rsidP="007F3A17">
            <w:pPr>
              <w:pStyle w:val="TableText"/>
              <w:rPr>
                <w:b/>
              </w:rPr>
            </w:pPr>
          </w:p>
        </w:tc>
        <w:tc>
          <w:tcPr>
            <w:tcW w:w="720" w:type="dxa"/>
            <w:shd w:val="clear" w:color="auto" w:fill="D9D9D9" w:themeFill="background1" w:themeFillShade="D9"/>
            <w:vAlign w:val="center"/>
          </w:tcPr>
          <w:p w:rsidR="007F3A17" w:rsidRPr="007F3A17" w:rsidRDefault="007F3A17" w:rsidP="007F3A17">
            <w:pPr>
              <w:pStyle w:val="TableText"/>
              <w:rPr>
                <w:b/>
              </w:rPr>
            </w:pPr>
            <w:r w:rsidRPr="007F3A17">
              <w:rPr>
                <w:b/>
              </w:rPr>
              <w:t>Date:</w:t>
            </w:r>
          </w:p>
        </w:tc>
        <w:tc>
          <w:tcPr>
            <w:tcW w:w="1373" w:type="dxa"/>
            <w:vAlign w:val="center"/>
          </w:tcPr>
          <w:p w:rsidR="007F3A17" w:rsidRPr="007F3A17" w:rsidRDefault="007F3A17" w:rsidP="007F3A17">
            <w:pPr>
              <w:pStyle w:val="TableText"/>
              <w:rPr>
                <w:b/>
              </w:rPr>
            </w:pPr>
          </w:p>
        </w:tc>
      </w:tr>
    </w:tbl>
    <w:p w:rsidR="00CE464C" w:rsidRPr="006D2944" w:rsidRDefault="00CE464C" w:rsidP="006D2944">
      <w:pPr>
        <w:pStyle w:val="NoSpacing"/>
        <w:rPr>
          <w:sz w:val="16"/>
        </w:rPr>
      </w:pPr>
      <w:r w:rsidRPr="006D2944">
        <w:rPr>
          <w:sz w:val="16"/>
        </w:rPr>
        <w:t xml:space="preserve"> </w:t>
      </w: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205"/>
        <w:gridCol w:w="7265"/>
      </w:tblGrid>
      <w:tr w:rsidR="00CE464C" w:rsidTr="00267BFB">
        <w:tc>
          <w:tcPr>
            <w:tcW w:w="2205" w:type="dxa"/>
            <w:tcMar>
              <w:top w:w="100" w:type="dxa"/>
              <w:left w:w="100" w:type="dxa"/>
              <w:bottom w:w="100" w:type="dxa"/>
              <w:right w:w="100" w:type="dxa"/>
            </w:tcMar>
          </w:tcPr>
          <w:p w:rsidR="00CE464C" w:rsidRPr="007F3A17" w:rsidRDefault="00CE464C" w:rsidP="006D2944">
            <w:pPr>
              <w:pStyle w:val="ToolTableText"/>
              <w:spacing w:before="0" w:after="0"/>
              <w:rPr>
                <w:b/>
              </w:rPr>
            </w:pPr>
            <w:r w:rsidRPr="007F3A17">
              <w:rPr>
                <w:b/>
              </w:rPr>
              <w:t>Central Claim from “Satyagraha”</w:t>
            </w:r>
          </w:p>
        </w:tc>
        <w:tc>
          <w:tcPr>
            <w:tcW w:w="7265" w:type="dxa"/>
            <w:tcMar>
              <w:top w:w="100" w:type="dxa"/>
              <w:left w:w="100" w:type="dxa"/>
              <w:bottom w:w="100" w:type="dxa"/>
              <w:right w:w="100" w:type="dxa"/>
            </w:tcMar>
          </w:tcPr>
          <w:p w:rsidR="00CE464C" w:rsidRDefault="00CE464C" w:rsidP="006D2944">
            <w:pPr>
              <w:pStyle w:val="ToolTableText"/>
              <w:spacing w:before="0" w:after="0"/>
            </w:pPr>
            <w:r>
              <w:t>“Sugar crushed people, and yet it was because of sugar that Gandhi began his experiment in truth</w:t>
            </w:r>
            <w:r w:rsidR="000A76D5">
              <w:t>—</w:t>
            </w:r>
            <w:r>
              <w:t>so that ev</w:t>
            </w:r>
            <w:r w:rsidR="003C2F39">
              <w:t>ery individual could free him</w:t>
            </w:r>
            <w:r w:rsidR="006D2944">
              <w:t>—</w:t>
            </w:r>
            <w:r>
              <w:t>or herself.” (p.</w:t>
            </w:r>
            <w:r w:rsidR="006D2944">
              <w:t> </w:t>
            </w:r>
            <w:r>
              <w:t>125)</w:t>
            </w:r>
          </w:p>
        </w:tc>
      </w:tr>
    </w:tbl>
    <w:p w:rsidR="00CE464C" w:rsidRPr="006D2944" w:rsidRDefault="00CE464C" w:rsidP="006D2944">
      <w:pPr>
        <w:pStyle w:val="NoSpacing"/>
        <w:rPr>
          <w:sz w:val="16"/>
        </w:rPr>
      </w:pPr>
    </w:p>
    <w:tbl>
      <w:tblPr>
        <w:tblW w:w="945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38"/>
        <w:gridCol w:w="4590"/>
        <w:gridCol w:w="3022"/>
      </w:tblGrid>
      <w:tr w:rsidR="00CE464C" w:rsidTr="00267BFB">
        <w:trPr>
          <w:trHeight w:val="20"/>
        </w:trPr>
        <w:tc>
          <w:tcPr>
            <w:tcW w:w="1838" w:type="dxa"/>
            <w:shd w:val="clear" w:color="auto" w:fill="D9D9D9"/>
            <w:tcMar>
              <w:top w:w="100" w:type="dxa"/>
              <w:left w:w="100" w:type="dxa"/>
              <w:bottom w:w="100" w:type="dxa"/>
              <w:right w:w="100" w:type="dxa"/>
            </w:tcMar>
            <w:vAlign w:val="bottom"/>
          </w:tcPr>
          <w:p w:rsidR="00CE464C" w:rsidRPr="007F3A17" w:rsidRDefault="00CE464C" w:rsidP="006D2944">
            <w:pPr>
              <w:pStyle w:val="ToolTableText"/>
              <w:spacing w:before="0" w:after="0"/>
              <w:rPr>
                <w:b/>
              </w:rPr>
            </w:pPr>
            <w:r w:rsidRPr="007F3A17">
              <w:rPr>
                <w:b/>
                <w:shd w:val="clear" w:color="auto" w:fill="D9D9D9"/>
              </w:rPr>
              <w:t>Section</w:t>
            </w:r>
          </w:p>
        </w:tc>
        <w:tc>
          <w:tcPr>
            <w:tcW w:w="4590" w:type="dxa"/>
            <w:shd w:val="clear" w:color="auto" w:fill="D9D9D9"/>
            <w:tcMar>
              <w:top w:w="100" w:type="dxa"/>
              <w:left w:w="100" w:type="dxa"/>
              <w:bottom w:w="100" w:type="dxa"/>
              <w:right w:w="100" w:type="dxa"/>
            </w:tcMar>
            <w:vAlign w:val="bottom"/>
          </w:tcPr>
          <w:p w:rsidR="00CE464C" w:rsidRPr="007F3A17" w:rsidRDefault="000A76D5" w:rsidP="006D2944">
            <w:pPr>
              <w:pStyle w:val="ToolTableText"/>
              <w:spacing w:before="0" w:after="0"/>
              <w:rPr>
                <w:b/>
              </w:rPr>
            </w:pPr>
            <w:r>
              <w:rPr>
                <w:b/>
                <w:shd w:val="clear" w:color="auto" w:fill="D9D9D9"/>
              </w:rPr>
              <w:t>What i</w:t>
            </w:r>
            <w:r w:rsidR="00CE464C" w:rsidRPr="007F3A17">
              <w:rPr>
                <w:b/>
                <w:shd w:val="clear" w:color="auto" w:fill="D9D9D9"/>
              </w:rPr>
              <w:t xml:space="preserve">s the main idea? </w:t>
            </w:r>
          </w:p>
        </w:tc>
        <w:tc>
          <w:tcPr>
            <w:tcW w:w="3022" w:type="dxa"/>
            <w:shd w:val="clear" w:color="auto" w:fill="D9D9D9"/>
            <w:tcMar>
              <w:top w:w="100" w:type="dxa"/>
              <w:left w:w="100" w:type="dxa"/>
              <w:bottom w:w="100" w:type="dxa"/>
              <w:right w:w="100" w:type="dxa"/>
            </w:tcMar>
            <w:vAlign w:val="bottom"/>
          </w:tcPr>
          <w:p w:rsidR="00CE464C" w:rsidRPr="007F3A17" w:rsidRDefault="00CE464C" w:rsidP="006D2944">
            <w:pPr>
              <w:pStyle w:val="ToolTableText"/>
              <w:spacing w:before="0" w:after="0"/>
              <w:rPr>
                <w:b/>
              </w:rPr>
            </w:pPr>
            <w:r w:rsidRPr="007F3A17">
              <w:rPr>
                <w:b/>
                <w:shd w:val="clear" w:color="auto" w:fill="D9D9D9"/>
              </w:rPr>
              <w:t>How does the main idea in this section connect to the central claim yo</w:t>
            </w:r>
            <w:r w:rsidR="007F3A17">
              <w:rPr>
                <w:b/>
                <w:shd w:val="clear" w:color="auto" w:fill="D9D9D9"/>
              </w:rPr>
              <w:t>u identified in “Satyagraha”?</w:t>
            </w:r>
          </w:p>
        </w:tc>
      </w:tr>
      <w:tr w:rsidR="00CE464C" w:rsidTr="00267BFB">
        <w:trPr>
          <w:trHeight w:val="20"/>
        </w:trPr>
        <w:tc>
          <w:tcPr>
            <w:tcW w:w="1838" w:type="dxa"/>
            <w:tcMar>
              <w:top w:w="100" w:type="dxa"/>
              <w:left w:w="100" w:type="dxa"/>
              <w:bottom w:w="100" w:type="dxa"/>
              <w:right w:w="100" w:type="dxa"/>
            </w:tcMar>
          </w:tcPr>
          <w:p w:rsidR="00CE464C" w:rsidRDefault="00CE464C"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tc>
        <w:tc>
          <w:tcPr>
            <w:tcW w:w="4590" w:type="dxa"/>
            <w:tcMar>
              <w:top w:w="100" w:type="dxa"/>
              <w:left w:w="100" w:type="dxa"/>
              <w:bottom w:w="100" w:type="dxa"/>
              <w:right w:w="100" w:type="dxa"/>
            </w:tcMar>
          </w:tcPr>
          <w:p w:rsidR="00CE464C" w:rsidRDefault="00CE464C" w:rsidP="006D2944">
            <w:pPr>
              <w:pStyle w:val="ToolTableText"/>
            </w:pPr>
          </w:p>
        </w:tc>
        <w:tc>
          <w:tcPr>
            <w:tcW w:w="3022" w:type="dxa"/>
            <w:tcMar>
              <w:top w:w="100" w:type="dxa"/>
              <w:left w:w="100" w:type="dxa"/>
              <w:bottom w:w="100" w:type="dxa"/>
              <w:right w:w="100" w:type="dxa"/>
            </w:tcMar>
          </w:tcPr>
          <w:p w:rsidR="00CE464C" w:rsidRDefault="00CE464C" w:rsidP="006D2944">
            <w:pPr>
              <w:pStyle w:val="ToolTableText"/>
            </w:pPr>
          </w:p>
        </w:tc>
      </w:tr>
      <w:tr w:rsidR="00CE464C" w:rsidTr="00267BFB">
        <w:trPr>
          <w:trHeight w:val="20"/>
        </w:trPr>
        <w:tc>
          <w:tcPr>
            <w:tcW w:w="1838" w:type="dxa"/>
            <w:tcMar>
              <w:top w:w="100" w:type="dxa"/>
              <w:left w:w="100" w:type="dxa"/>
              <w:bottom w:w="100" w:type="dxa"/>
              <w:right w:w="100" w:type="dxa"/>
            </w:tcMar>
          </w:tcPr>
          <w:p w:rsidR="00CE464C" w:rsidRDefault="00CE464C"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tc>
        <w:tc>
          <w:tcPr>
            <w:tcW w:w="4590" w:type="dxa"/>
            <w:tcMar>
              <w:top w:w="100" w:type="dxa"/>
              <w:left w:w="100" w:type="dxa"/>
              <w:bottom w:w="100" w:type="dxa"/>
              <w:right w:w="100" w:type="dxa"/>
            </w:tcMar>
          </w:tcPr>
          <w:p w:rsidR="00CB5CEE" w:rsidRDefault="00CB5CEE" w:rsidP="006D2944">
            <w:pPr>
              <w:pStyle w:val="ToolTableText"/>
            </w:pPr>
          </w:p>
        </w:tc>
        <w:tc>
          <w:tcPr>
            <w:tcW w:w="3022" w:type="dxa"/>
            <w:tcMar>
              <w:top w:w="100" w:type="dxa"/>
              <w:left w:w="100" w:type="dxa"/>
              <w:bottom w:w="100" w:type="dxa"/>
              <w:right w:w="100" w:type="dxa"/>
            </w:tcMar>
          </w:tcPr>
          <w:p w:rsidR="00CE464C" w:rsidRDefault="00CE464C" w:rsidP="006D2944">
            <w:pPr>
              <w:pStyle w:val="ToolTableText"/>
            </w:pPr>
          </w:p>
        </w:tc>
      </w:tr>
      <w:tr w:rsidR="00CE464C" w:rsidTr="00267BFB">
        <w:trPr>
          <w:trHeight w:val="20"/>
        </w:trPr>
        <w:tc>
          <w:tcPr>
            <w:tcW w:w="1838" w:type="dxa"/>
            <w:tcMar>
              <w:top w:w="100" w:type="dxa"/>
              <w:left w:w="100" w:type="dxa"/>
              <w:bottom w:w="100" w:type="dxa"/>
              <w:right w:w="100" w:type="dxa"/>
            </w:tcMar>
          </w:tcPr>
          <w:p w:rsidR="00CE464C" w:rsidRDefault="00CE464C"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p w:rsidR="006D2944" w:rsidRDefault="006D2944" w:rsidP="006D2944">
            <w:pPr>
              <w:pStyle w:val="ToolTableText"/>
            </w:pPr>
          </w:p>
        </w:tc>
        <w:tc>
          <w:tcPr>
            <w:tcW w:w="4590" w:type="dxa"/>
            <w:tcMar>
              <w:top w:w="100" w:type="dxa"/>
              <w:left w:w="100" w:type="dxa"/>
              <w:bottom w:w="100" w:type="dxa"/>
              <w:right w:w="100" w:type="dxa"/>
            </w:tcMar>
          </w:tcPr>
          <w:p w:rsidR="00CE464C" w:rsidRDefault="00CE464C" w:rsidP="006D2944">
            <w:pPr>
              <w:pStyle w:val="ToolTableText"/>
            </w:pPr>
          </w:p>
        </w:tc>
        <w:tc>
          <w:tcPr>
            <w:tcW w:w="3022" w:type="dxa"/>
            <w:tcMar>
              <w:top w:w="100" w:type="dxa"/>
              <w:left w:w="100" w:type="dxa"/>
              <w:bottom w:w="100" w:type="dxa"/>
              <w:right w:w="100" w:type="dxa"/>
            </w:tcMar>
          </w:tcPr>
          <w:p w:rsidR="00CE464C" w:rsidRDefault="00CE464C" w:rsidP="006D2944">
            <w:pPr>
              <w:pStyle w:val="ToolTableText"/>
            </w:pPr>
          </w:p>
        </w:tc>
      </w:tr>
    </w:tbl>
    <w:p w:rsidR="006D2944" w:rsidRPr="006D2944" w:rsidRDefault="006D2944" w:rsidP="006D2944">
      <w:r w:rsidRPr="006D2944">
        <w:br w:type="page"/>
      </w:r>
    </w:p>
    <w:p w:rsidR="007F3A17" w:rsidRDefault="007F3A17" w:rsidP="007F3A17">
      <w:pPr>
        <w:pStyle w:val="ToolHeader"/>
      </w:pPr>
      <w:r>
        <w:t>Model Unfolding Analysis Tool</w:t>
      </w:r>
      <w:r w:rsidR="003740A6">
        <w:t>: Connecting Ideas</w:t>
      </w:r>
    </w:p>
    <w:tbl>
      <w:tblPr>
        <w:tblStyle w:val="TableGrid1"/>
        <w:tblW w:w="0" w:type="auto"/>
        <w:tblInd w:w="115" w:type="dxa"/>
        <w:tblLook w:val="04A0"/>
      </w:tblPr>
      <w:tblGrid>
        <w:gridCol w:w="820"/>
        <w:gridCol w:w="2780"/>
        <w:gridCol w:w="732"/>
        <w:gridCol w:w="3039"/>
        <w:gridCol w:w="720"/>
        <w:gridCol w:w="1370"/>
      </w:tblGrid>
      <w:tr w:rsidR="007F3A17" w:rsidRPr="007F3A17" w:rsidTr="00267BFB">
        <w:trPr>
          <w:trHeight w:val="557"/>
        </w:trPr>
        <w:tc>
          <w:tcPr>
            <w:tcW w:w="820" w:type="dxa"/>
            <w:shd w:val="clear" w:color="auto" w:fill="D9D9D9" w:themeFill="background1" w:themeFillShade="D9"/>
            <w:vAlign w:val="center"/>
          </w:tcPr>
          <w:p w:rsidR="007F3A17" w:rsidRPr="007F3A17" w:rsidRDefault="007F3A17" w:rsidP="007F3A17">
            <w:pPr>
              <w:pStyle w:val="TableText"/>
              <w:rPr>
                <w:b/>
              </w:rPr>
            </w:pPr>
            <w:r w:rsidRPr="007F3A17">
              <w:rPr>
                <w:b/>
              </w:rPr>
              <w:t>Name:</w:t>
            </w:r>
          </w:p>
        </w:tc>
        <w:tc>
          <w:tcPr>
            <w:tcW w:w="2786" w:type="dxa"/>
            <w:vAlign w:val="center"/>
          </w:tcPr>
          <w:p w:rsidR="007F3A17" w:rsidRPr="007F3A17" w:rsidRDefault="007F3A17" w:rsidP="007F3A17">
            <w:pPr>
              <w:pStyle w:val="TableText"/>
              <w:rPr>
                <w:b/>
              </w:rPr>
            </w:pPr>
          </w:p>
        </w:tc>
        <w:tc>
          <w:tcPr>
            <w:tcW w:w="732" w:type="dxa"/>
            <w:shd w:val="clear" w:color="auto" w:fill="D9D9D9" w:themeFill="background1" w:themeFillShade="D9"/>
            <w:vAlign w:val="center"/>
          </w:tcPr>
          <w:p w:rsidR="007F3A17" w:rsidRPr="007F3A17" w:rsidRDefault="007F3A17" w:rsidP="007F3A17">
            <w:pPr>
              <w:pStyle w:val="TableText"/>
              <w:rPr>
                <w:b/>
              </w:rPr>
            </w:pPr>
            <w:r w:rsidRPr="007F3A17">
              <w:rPr>
                <w:b/>
              </w:rPr>
              <w:t>Class:</w:t>
            </w:r>
          </w:p>
        </w:tc>
        <w:tc>
          <w:tcPr>
            <w:tcW w:w="3045" w:type="dxa"/>
            <w:vAlign w:val="center"/>
          </w:tcPr>
          <w:p w:rsidR="007F3A17" w:rsidRPr="007F3A17" w:rsidRDefault="007F3A17" w:rsidP="007F3A17">
            <w:pPr>
              <w:pStyle w:val="TableText"/>
              <w:rPr>
                <w:b/>
              </w:rPr>
            </w:pPr>
          </w:p>
        </w:tc>
        <w:tc>
          <w:tcPr>
            <w:tcW w:w="720" w:type="dxa"/>
            <w:shd w:val="clear" w:color="auto" w:fill="D9D9D9" w:themeFill="background1" w:themeFillShade="D9"/>
            <w:vAlign w:val="center"/>
          </w:tcPr>
          <w:p w:rsidR="007F3A17" w:rsidRPr="007F3A17" w:rsidRDefault="007F3A17" w:rsidP="007F3A17">
            <w:pPr>
              <w:pStyle w:val="TableText"/>
              <w:rPr>
                <w:b/>
              </w:rPr>
            </w:pPr>
            <w:r w:rsidRPr="007F3A17">
              <w:rPr>
                <w:b/>
              </w:rPr>
              <w:t>Date:</w:t>
            </w:r>
          </w:p>
        </w:tc>
        <w:tc>
          <w:tcPr>
            <w:tcW w:w="1373" w:type="dxa"/>
            <w:vAlign w:val="center"/>
          </w:tcPr>
          <w:p w:rsidR="007F3A17" w:rsidRPr="007F3A17" w:rsidRDefault="007F3A17" w:rsidP="007F3A17">
            <w:pPr>
              <w:pStyle w:val="TableText"/>
              <w:rPr>
                <w:b/>
              </w:rPr>
            </w:pPr>
          </w:p>
        </w:tc>
      </w:tr>
    </w:tbl>
    <w:p w:rsidR="007F3A17" w:rsidRPr="006D2944" w:rsidRDefault="007F3A17" w:rsidP="006D2944">
      <w:pPr>
        <w:pStyle w:val="NoSpacing"/>
        <w:rPr>
          <w:sz w:val="16"/>
        </w:rPr>
      </w:pPr>
    </w:p>
    <w:tbl>
      <w:tblPr>
        <w:tblW w:w="9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219"/>
        <w:gridCol w:w="7261"/>
      </w:tblGrid>
      <w:tr w:rsidR="007F3A17" w:rsidTr="00267BFB">
        <w:tc>
          <w:tcPr>
            <w:tcW w:w="2219" w:type="dxa"/>
            <w:tcMar>
              <w:top w:w="100" w:type="dxa"/>
              <w:left w:w="100" w:type="dxa"/>
              <w:bottom w:w="100" w:type="dxa"/>
              <w:right w:w="100" w:type="dxa"/>
            </w:tcMar>
          </w:tcPr>
          <w:p w:rsidR="007F3A17" w:rsidRPr="0026589E" w:rsidRDefault="007F3A17" w:rsidP="006D2944">
            <w:pPr>
              <w:pStyle w:val="ToolTableText"/>
              <w:spacing w:before="0" w:after="0"/>
              <w:rPr>
                <w:b/>
              </w:rPr>
            </w:pPr>
            <w:r w:rsidRPr="0026589E">
              <w:rPr>
                <w:b/>
              </w:rPr>
              <w:t>Central Claim from “Satyagraha”</w:t>
            </w:r>
          </w:p>
        </w:tc>
        <w:tc>
          <w:tcPr>
            <w:tcW w:w="7261" w:type="dxa"/>
            <w:tcMar>
              <w:top w:w="100" w:type="dxa"/>
              <w:left w:w="100" w:type="dxa"/>
              <w:bottom w:w="100" w:type="dxa"/>
              <w:right w:w="100" w:type="dxa"/>
            </w:tcMar>
          </w:tcPr>
          <w:p w:rsidR="007F3A17" w:rsidRDefault="007F3A17" w:rsidP="006D2944">
            <w:pPr>
              <w:pStyle w:val="ToolTableText"/>
              <w:spacing w:before="0" w:after="0"/>
            </w:pPr>
            <w:r>
              <w:t>“Sugar crushed people, and yet it was because of sugar that Gandhi began his experiment in truth</w:t>
            </w:r>
            <w:r w:rsidR="00660852">
              <w:t>—</w:t>
            </w:r>
            <w:r>
              <w:t>so that every individual could free him- or herself.” (p.</w:t>
            </w:r>
            <w:r w:rsidR="006D2944">
              <w:t> </w:t>
            </w:r>
            <w:r>
              <w:t>125)</w:t>
            </w:r>
          </w:p>
        </w:tc>
      </w:tr>
    </w:tbl>
    <w:p w:rsidR="007F3A17" w:rsidRPr="006D2944" w:rsidRDefault="007F3A17" w:rsidP="006D2944">
      <w:pPr>
        <w:pStyle w:val="NoSpacing"/>
        <w:rPr>
          <w:sz w:val="16"/>
        </w:rPr>
      </w:pPr>
    </w:p>
    <w:tbl>
      <w:tblPr>
        <w:tblW w:w="9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95"/>
        <w:gridCol w:w="4679"/>
        <w:gridCol w:w="2998"/>
      </w:tblGrid>
      <w:tr w:rsidR="007F3A17" w:rsidTr="00267BFB">
        <w:trPr>
          <w:trHeight w:val="942"/>
        </w:trPr>
        <w:tc>
          <w:tcPr>
            <w:tcW w:w="1795" w:type="dxa"/>
            <w:shd w:val="clear" w:color="auto" w:fill="D9D9D9"/>
            <w:tcMar>
              <w:top w:w="100" w:type="dxa"/>
              <w:left w:w="100" w:type="dxa"/>
              <w:bottom w:w="100" w:type="dxa"/>
              <w:right w:w="100" w:type="dxa"/>
            </w:tcMar>
            <w:vAlign w:val="bottom"/>
          </w:tcPr>
          <w:p w:rsidR="007F3A17" w:rsidRPr="0026589E" w:rsidRDefault="007F3A17" w:rsidP="00647858">
            <w:pPr>
              <w:pStyle w:val="ToolTableText"/>
              <w:spacing w:before="0" w:after="0"/>
              <w:rPr>
                <w:b/>
              </w:rPr>
            </w:pPr>
            <w:r w:rsidRPr="0026589E">
              <w:rPr>
                <w:b/>
                <w:shd w:val="clear" w:color="auto" w:fill="D9D9D9"/>
              </w:rPr>
              <w:t>Section</w:t>
            </w:r>
          </w:p>
        </w:tc>
        <w:tc>
          <w:tcPr>
            <w:tcW w:w="4679" w:type="dxa"/>
            <w:shd w:val="clear" w:color="auto" w:fill="D9D9D9"/>
            <w:tcMar>
              <w:top w:w="100" w:type="dxa"/>
              <w:left w:w="100" w:type="dxa"/>
              <w:bottom w:w="100" w:type="dxa"/>
              <w:right w:w="100" w:type="dxa"/>
            </w:tcMar>
            <w:vAlign w:val="bottom"/>
          </w:tcPr>
          <w:p w:rsidR="007F3A17" w:rsidRPr="0026589E" w:rsidRDefault="000A76D5" w:rsidP="00647858">
            <w:pPr>
              <w:pStyle w:val="ToolTableText"/>
              <w:spacing w:before="0" w:after="0"/>
              <w:rPr>
                <w:b/>
              </w:rPr>
            </w:pPr>
            <w:r>
              <w:rPr>
                <w:b/>
                <w:shd w:val="clear" w:color="auto" w:fill="D9D9D9"/>
              </w:rPr>
              <w:t>What i</w:t>
            </w:r>
            <w:r w:rsidR="007F3A17" w:rsidRPr="0026589E">
              <w:rPr>
                <w:b/>
                <w:shd w:val="clear" w:color="auto" w:fill="D9D9D9"/>
              </w:rPr>
              <w:t xml:space="preserve">s the main idea? </w:t>
            </w:r>
          </w:p>
        </w:tc>
        <w:tc>
          <w:tcPr>
            <w:tcW w:w="2998" w:type="dxa"/>
            <w:shd w:val="clear" w:color="auto" w:fill="D9D9D9"/>
            <w:tcMar>
              <w:top w:w="100" w:type="dxa"/>
              <w:left w:w="100" w:type="dxa"/>
              <w:bottom w:w="100" w:type="dxa"/>
              <w:right w:w="100" w:type="dxa"/>
            </w:tcMar>
            <w:vAlign w:val="bottom"/>
          </w:tcPr>
          <w:p w:rsidR="007F3A17" w:rsidRPr="0026589E" w:rsidRDefault="007F3A17" w:rsidP="00647858">
            <w:pPr>
              <w:pStyle w:val="ToolTableText"/>
              <w:spacing w:before="0" w:after="0"/>
              <w:rPr>
                <w:b/>
              </w:rPr>
            </w:pPr>
            <w:r w:rsidRPr="0026589E">
              <w:rPr>
                <w:b/>
                <w:shd w:val="clear" w:color="auto" w:fill="D9D9D9"/>
              </w:rPr>
              <w:t>How does the main idea in this section connect to the central claim you identified in “Satyagraha”?</w:t>
            </w:r>
            <w:r w:rsidR="00647858">
              <w:rPr>
                <w:b/>
                <w:shd w:val="clear" w:color="auto" w:fill="D9D9D9"/>
              </w:rPr>
              <w:t xml:space="preserve"> </w:t>
            </w:r>
          </w:p>
        </w:tc>
      </w:tr>
      <w:tr w:rsidR="007F3A17" w:rsidTr="00267BFB">
        <w:trPr>
          <w:trHeight w:val="1500"/>
        </w:trPr>
        <w:tc>
          <w:tcPr>
            <w:tcW w:w="1795" w:type="dxa"/>
            <w:tcMar>
              <w:top w:w="100" w:type="dxa"/>
              <w:left w:w="100" w:type="dxa"/>
              <w:bottom w:w="100" w:type="dxa"/>
              <w:right w:w="100" w:type="dxa"/>
            </w:tcMar>
          </w:tcPr>
          <w:p w:rsidR="007F3A17" w:rsidRPr="0026589E" w:rsidRDefault="007F3A17" w:rsidP="000A76D5">
            <w:pPr>
              <w:pStyle w:val="ToolTableText"/>
              <w:rPr>
                <w:b/>
              </w:rPr>
            </w:pPr>
            <w:r w:rsidRPr="0026589E">
              <w:rPr>
                <w:b/>
              </w:rPr>
              <w:t>“A Cycle of Death and Sweetness” (pp. 35</w:t>
            </w:r>
            <w:r w:rsidR="000A76D5">
              <w:rPr>
                <w:b/>
              </w:rPr>
              <w:t>–</w:t>
            </w:r>
            <w:r w:rsidRPr="0026589E">
              <w:rPr>
                <w:b/>
              </w:rPr>
              <w:t>41)</w:t>
            </w:r>
          </w:p>
        </w:tc>
        <w:tc>
          <w:tcPr>
            <w:tcW w:w="4679" w:type="dxa"/>
            <w:tcMar>
              <w:top w:w="100" w:type="dxa"/>
              <w:left w:w="100" w:type="dxa"/>
              <w:bottom w:w="100" w:type="dxa"/>
              <w:right w:w="100" w:type="dxa"/>
            </w:tcMar>
          </w:tcPr>
          <w:p w:rsidR="007F3A17" w:rsidRDefault="007F3A17" w:rsidP="00510039">
            <w:pPr>
              <w:pStyle w:val="ToolTableText"/>
            </w:pPr>
            <w:r w:rsidRPr="007F3A17">
              <w:t xml:space="preserve">Slaves on sugar plantations were not treated like </w:t>
            </w:r>
            <w:proofErr w:type="gramStart"/>
            <w:r w:rsidRPr="007F3A17">
              <w:t>people,</w:t>
            </w:r>
            <w:proofErr w:type="gramEnd"/>
            <w:r w:rsidRPr="007F3A17">
              <w:t xml:space="preserve"> they were treated l</w:t>
            </w:r>
            <w:r w:rsidR="000A76D5">
              <w:t xml:space="preserve">ike parts of a “sugar machine” </w:t>
            </w:r>
            <w:r w:rsidRPr="007F3A17">
              <w:t xml:space="preserve">whose only job was to participate in the “brutal cycle” of making sugar (p. 36). </w:t>
            </w:r>
          </w:p>
          <w:p w:rsidR="00CB5CEE" w:rsidRPr="007F3A17" w:rsidRDefault="00CB5CEE" w:rsidP="00510039">
            <w:pPr>
              <w:pStyle w:val="ToolTableText"/>
            </w:pPr>
          </w:p>
        </w:tc>
        <w:tc>
          <w:tcPr>
            <w:tcW w:w="2998" w:type="dxa"/>
            <w:tcMar>
              <w:top w:w="100" w:type="dxa"/>
              <w:left w:w="100" w:type="dxa"/>
              <w:bottom w:w="100" w:type="dxa"/>
              <w:right w:w="100" w:type="dxa"/>
            </w:tcMar>
          </w:tcPr>
          <w:p w:rsidR="007F3A17" w:rsidRPr="007F3A17" w:rsidRDefault="007F3A17" w:rsidP="00510039">
            <w:pPr>
              <w:pStyle w:val="ToolTableText"/>
            </w:pPr>
            <w:r w:rsidRPr="007F3A17">
              <w:t>This section connects to the idea that “sugar crushed people” through brutal working conditions and slavery.</w:t>
            </w:r>
          </w:p>
        </w:tc>
      </w:tr>
      <w:tr w:rsidR="007F3A17" w:rsidTr="00267BFB">
        <w:trPr>
          <w:trHeight w:val="1236"/>
        </w:trPr>
        <w:tc>
          <w:tcPr>
            <w:tcW w:w="1795" w:type="dxa"/>
            <w:tcMar>
              <w:top w:w="100" w:type="dxa"/>
              <w:left w:w="100" w:type="dxa"/>
              <w:bottom w:w="100" w:type="dxa"/>
              <w:right w:w="100" w:type="dxa"/>
            </w:tcMar>
          </w:tcPr>
          <w:p w:rsidR="007F3A17" w:rsidRPr="0026589E" w:rsidRDefault="007F3A17" w:rsidP="00510039">
            <w:pPr>
              <w:pStyle w:val="ToolTableText"/>
              <w:rPr>
                <w:b/>
              </w:rPr>
            </w:pPr>
            <w:r w:rsidRPr="0026589E">
              <w:rPr>
                <w:b/>
              </w:rPr>
              <w:t>“The Pulse of Sugar Life” (pp.</w:t>
            </w:r>
            <w:r w:rsidR="000A76D5">
              <w:rPr>
                <w:b/>
              </w:rPr>
              <w:t xml:space="preserve"> 54–</w:t>
            </w:r>
            <w:r w:rsidRPr="0026589E">
              <w:rPr>
                <w:b/>
              </w:rPr>
              <w:t>55)</w:t>
            </w:r>
          </w:p>
        </w:tc>
        <w:tc>
          <w:tcPr>
            <w:tcW w:w="4679" w:type="dxa"/>
            <w:tcMar>
              <w:top w:w="100" w:type="dxa"/>
              <w:left w:w="100" w:type="dxa"/>
              <w:bottom w:w="100" w:type="dxa"/>
              <w:right w:w="100" w:type="dxa"/>
            </w:tcMar>
          </w:tcPr>
          <w:p w:rsidR="007F3A17" w:rsidRDefault="007F3A17" w:rsidP="00510039">
            <w:pPr>
              <w:pStyle w:val="ToolTableText"/>
            </w:pPr>
            <w:r w:rsidRPr="007F3A17">
              <w:t>Sugar slaves found ways to express their humanity, to say that they were “not just bodies born to work and die” through music and dance</w:t>
            </w:r>
            <w:r w:rsidR="00647858">
              <w:t xml:space="preserve"> (p. </w:t>
            </w:r>
            <w:r w:rsidR="000A76D5">
              <w:t>54)</w:t>
            </w:r>
            <w:r w:rsidRPr="007F3A17">
              <w:t>.</w:t>
            </w:r>
          </w:p>
          <w:p w:rsidR="00CB5CEE" w:rsidRDefault="00CB5CEE" w:rsidP="00510039">
            <w:pPr>
              <w:pStyle w:val="ToolTableText"/>
            </w:pPr>
          </w:p>
          <w:p w:rsidR="00CB5CEE" w:rsidRPr="007F3A17" w:rsidRDefault="00CB5CEE" w:rsidP="00510039">
            <w:pPr>
              <w:pStyle w:val="ToolTableText"/>
            </w:pPr>
          </w:p>
        </w:tc>
        <w:tc>
          <w:tcPr>
            <w:tcW w:w="2998" w:type="dxa"/>
            <w:tcMar>
              <w:top w:w="100" w:type="dxa"/>
              <w:left w:w="100" w:type="dxa"/>
              <w:bottom w:w="100" w:type="dxa"/>
              <w:right w:w="100" w:type="dxa"/>
            </w:tcMar>
          </w:tcPr>
          <w:p w:rsidR="007F3A17" w:rsidRPr="007F3A17" w:rsidRDefault="007F3A17" w:rsidP="00660852">
            <w:pPr>
              <w:pStyle w:val="ToolTableText"/>
            </w:pPr>
            <w:r w:rsidRPr="007F3A17">
              <w:t>The sugar slaves were “experiment[ing] in truth” through their music, like Gandhi did with Satyagraha.</w:t>
            </w:r>
          </w:p>
        </w:tc>
      </w:tr>
      <w:tr w:rsidR="007F3A17" w:rsidTr="00267BFB">
        <w:trPr>
          <w:trHeight w:val="1792"/>
        </w:trPr>
        <w:tc>
          <w:tcPr>
            <w:tcW w:w="1795" w:type="dxa"/>
            <w:tcMar>
              <w:top w:w="100" w:type="dxa"/>
              <w:left w:w="100" w:type="dxa"/>
              <w:bottom w:w="100" w:type="dxa"/>
              <w:right w:w="100" w:type="dxa"/>
            </w:tcMar>
          </w:tcPr>
          <w:p w:rsidR="007F3A17" w:rsidRPr="0026589E" w:rsidRDefault="007F3A17" w:rsidP="00CC5937">
            <w:pPr>
              <w:pStyle w:val="ToolTableText"/>
              <w:rPr>
                <w:b/>
              </w:rPr>
            </w:pPr>
            <w:r w:rsidRPr="0026589E">
              <w:rPr>
                <w:b/>
              </w:rPr>
              <w:t>“The Sound of Liberty” (pp. 83</w:t>
            </w:r>
            <w:r w:rsidR="00CC5937">
              <w:rPr>
                <w:b/>
              </w:rPr>
              <w:t>–</w:t>
            </w:r>
            <w:r w:rsidRPr="0026589E">
              <w:rPr>
                <w:b/>
              </w:rPr>
              <w:t xml:space="preserve">91) </w:t>
            </w:r>
          </w:p>
        </w:tc>
        <w:tc>
          <w:tcPr>
            <w:tcW w:w="4679" w:type="dxa"/>
            <w:tcMar>
              <w:top w:w="100" w:type="dxa"/>
              <w:left w:w="100" w:type="dxa"/>
              <w:bottom w:w="100" w:type="dxa"/>
              <w:right w:w="100" w:type="dxa"/>
            </w:tcMar>
          </w:tcPr>
          <w:p w:rsidR="007F3A17" w:rsidRDefault="007F3A17" w:rsidP="00510039">
            <w:pPr>
              <w:pStyle w:val="ToolTableText"/>
            </w:pPr>
            <w:r w:rsidRPr="007F3A17">
              <w:t>The global connections that resulted from the sugar trade spread ideas</w:t>
            </w:r>
            <w:r w:rsidR="00CC5937">
              <w:t xml:space="preserve"> about liberty across the world</w:t>
            </w:r>
            <w:r w:rsidRPr="007F3A17">
              <w:t xml:space="preserve"> and resulted in revolutions in Haiti and British Guiana. Sugar caused slavery, but it also spread ideas of “liberty, equality, fraternity” (p.</w:t>
            </w:r>
            <w:r w:rsidR="00647858">
              <w:t> </w:t>
            </w:r>
            <w:r w:rsidRPr="007F3A17">
              <w:t xml:space="preserve">83). </w:t>
            </w:r>
          </w:p>
          <w:p w:rsidR="00CB5CEE" w:rsidRPr="007F3A17" w:rsidRDefault="00CB5CEE" w:rsidP="00510039">
            <w:pPr>
              <w:pStyle w:val="ToolTableText"/>
            </w:pPr>
          </w:p>
        </w:tc>
        <w:tc>
          <w:tcPr>
            <w:tcW w:w="2998" w:type="dxa"/>
            <w:tcMar>
              <w:top w:w="100" w:type="dxa"/>
              <w:left w:w="100" w:type="dxa"/>
              <w:bottom w:w="100" w:type="dxa"/>
              <w:right w:w="100" w:type="dxa"/>
            </w:tcMar>
          </w:tcPr>
          <w:p w:rsidR="007F3A17" w:rsidRPr="007F3A17" w:rsidRDefault="007F3A17" w:rsidP="00D4785C">
            <w:pPr>
              <w:pStyle w:val="ToolTableText"/>
            </w:pPr>
            <w:r w:rsidRPr="007F3A17">
              <w:t xml:space="preserve">Although the sugar trade caused slavery, it also caused the </w:t>
            </w:r>
            <w:r w:rsidR="009758D3">
              <w:t>spread of ideas about equality</w:t>
            </w:r>
            <w:r w:rsidRPr="007F3A17">
              <w:t xml:space="preserve"> that </w:t>
            </w:r>
            <w:r w:rsidR="00D4785C">
              <w:t>Ghandi drew upon</w:t>
            </w:r>
            <w:r w:rsidR="00C24F84">
              <w:t xml:space="preserve"> in his campaign</w:t>
            </w:r>
            <w:r w:rsidRPr="007F3A17">
              <w:t xml:space="preserve">. </w:t>
            </w:r>
          </w:p>
        </w:tc>
      </w:tr>
    </w:tbl>
    <w:p w:rsidR="007F3A17" w:rsidRPr="00FC3378" w:rsidRDefault="007F3A17" w:rsidP="007F3A17">
      <w:pPr>
        <w:pStyle w:val="Normal1"/>
        <w:spacing w:before="0" w:after="200"/>
      </w:pPr>
    </w:p>
    <w:p w:rsidR="002041CD" w:rsidRPr="005837C5" w:rsidRDefault="002041CD" w:rsidP="007F3A17">
      <w:pPr>
        <w:spacing w:before="0" w:after="0" w:line="240" w:lineRule="auto"/>
      </w:pP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42" w:rsidRDefault="00BD3942" w:rsidP="00E946A0">
      <w:r>
        <w:separator/>
      </w:r>
    </w:p>
    <w:p w:rsidR="00BD3942" w:rsidRDefault="00BD3942" w:rsidP="00E946A0"/>
  </w:endnote>
  <w:endnote w:type="continuationSeparator" w:id="0">
    <w:p w:rsidR="00BD3942" w:rsidRDefault="00BD3942" w:rsidP="00E946A0">
      <w:r>
        <w:continuationSeparator/>
      </w:r>
    </w:p>
    <w:p w:rsidR="00BD3942" w:rsidRDefault="00BD3942"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C6375D9-DBBC-4E36-BA41-AB43E9C9A79D}"/>
  </w:font>
  <w:font w:name="Times New Roman">
    <w:panose1 w:val="02020603050405020304"/>
    <w:charset w:val="00"/>
    <w:family w:val="roman"/>
    <w:pitch w:val="variable"/>
    <w:sig w:usb0="E0002AFF" w:usb1="C0007841" w:usb2="00000009" w:usb3="00000000" w:csb0="000001FF" w:csb1="00000000"/>
    <w:embedRegular r:id="rId2" w:subsetted="1" w:fontKey="{82D203B3-9D50-4BDA-BD41-EA40A5B8182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CD" w:rsidRDefault="007E7968" w:rsidP="00E946A0">
    <w:pPr>
      <w:pStyle w:val="Footer"/>
      <w:rPr>
        <w:rStyle w:val="PageNumber"/>
        <w:rFonts w:ascii="Calibri" w:hAnsi="Calibri"/>
        <w:sz w:val="22"/>
      </w:rPr>
    </w:pPr>
    <w:r>
      <w:rPr>
        <w:rStyle w:val="PageNumber"/>
      </w:rPr>
      <w:fldChar w:fldCharType="begin"/>
    </w:r>
    <w:r w:rsidR="00540CCD">
      <w:rPr>
        <w:rStyle w:val="PageNumber"/>
      </w:rPr>
      <w:instrText xml:space="preserve">PAGE  </w:instrText>
    </w:r>
    <w:r>
      <w:rPr>
        <w:rStyle w:val="PageNumber"/>
      </w:rPr>
      <w:fldChar w:fldCharType="end"/>
    </w:r>
  </w:p>
  <w:p w:rsidR="00540CCD" w:rsidRDefault="00540CCD" w:rsidP="00E946A0">
    <w:pPr>
      <w:pStyle w:val="Footer"/>
    </w:pPr>
  </w:p>
  <w:p w:rsidR="00540CCD" w:rsidRDefault="00540CCD" w:rsidP="00E946A0"/>
  <w:p w:rsidR="00540CCD" w:rsidRDefault="00540CC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CD" w:rsidRPr="00563CB8" w:rsidRDefault="00540CC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40CCD">
      <w:trPr>
        <w:trHeight w:val="705"/>
      </w:trPr>
      <w:tc>
        <w:tcPr>
          <w:tcW w:w="4609" w:type="dxa"/>
          <w:shd w:val="clear" w:color="auto" w:fill="auto"/>
          <w:vAlign w:val="center"/>
        </w:tcPr>
        <w:p w:rsidR="00540CCD" w:rsidRPr="0011371C" w:rsidRDefault="00540CCD" w:rsidP="004F2969">
          <w:pPr>
            <w:pStyle w:val="FooterText"/>
            <w:rPr>
              <w:rFonts w:asciiTheme="minorHAnsi" w:hAnsiTheme="minorHAnsi"/>
            </w:rPr>
          </w:pPr>
          <w:r w:rsidRPr="0011371C">
            <w:rPr>
              <w:rFonts w:asciiTheme="minorHAnsi" w:hAnsiTheme="minorHAnsi"/>
            </w:rPr>
            <w:t>File:</w:t>
          </w:r>
          <w:r w:rsidRPr="0011371C">
            <w:rPr>
              <w:rFonts w:asciiTheme="minorHAnsi" w:hAnsiTheme="minorHAnsi"/>
              <w:b w:val="0"/>
            </w:rPr>
            <w:t xml:space="preserve"> 9.4.1 Lesson 2</w:t>
          </w:r>
          <w:r>
            <w:rPr>
              <w:rFonts w:asciiTheme="minorHAnsi" w:hAnsiTheme="minorHAnsi"/>
              <w:b w:val="0"/>
            </w:rPr>
            <w:t>2</w:t>
          </w:r>
          <w:r w:rsidRPr="0011371C">
            <w:rPr>
              <w:rFonts w:asciiTheme="minorHAnsi" w:hAnsiTheme="minorHAnsi"/>
            </w:rPr>
            <w:t xml:space="preserve"> Date:</w:t>
          </w:r>
          <w:r w:rsidRPr="0011371C">
            <w:rPr>
              <w:rFonts w:asciiTheme="minorHAnsi" w:hAnsiTheme="minorHAnsi"/>
              <w:b w:val="0"/>
            </w:rPr>
            <w:t xml:space="preserve"> 3/28/14 </w:t>
          </w:r>
          <w:r w:rsidRPr="0011371C">
            <w:rPr>
              <w:rFonts w:asciiTheme="minorHAnsi" w:hAnsiTheme="minorHAnsi"/>
            </w:rPr>
            <w:t>Classroom Use:</w:t>
          </w:r>
          <w:r w:rsidR="00DE6E0A">
            <w:rPr>
              <w:rFonts w:asciiTheme="minorHAnsi" w:hAnsiTheme="minorHAnsi"/>
              <w:b w:val="0"/>
            </w:rPr>
            <w:t xml:space="preserve"> Starting 4</w:t>
          </w:r>
          <w:r w:rsidRPr="0011371C">
            <w:rPr>
              <w:rFonts w:asciiTheme="minorHAnsi" w:hAnsiTheme="minorHAnsi"/>
              <w:b w:val="0"/>
            </w:rPr>
            <w:t xml:space="preserve">/2014 </w:t>
          </w:r>
        </w:p>
        <w:p w:rsidR="00540CCD" w:rsidRPr="0011371C" w:rsidRDefault="00540CCD" w:rsidP="004F2969">
          <w:pPr>
            <w:pStyle w:val="FooterText"/>
            <w:rPr>
              <w:rFonts w:asciiTheme="minorHAnsi" w:hAnsiTheme="minorHAnsi"/>
              <w:b w:val="0"/>
              <w:i/>
              <w:sz w:val="12"/>
            </w:rPr>
          </w:pPr>
          <w:r w:rsidRPr="0011371C">
            <w:rPr>
              <w:rFonts w:asciiTheme="minorHAnsi" w:hAnsiTheme="minorHAnsi"/>
              <w:b w:val="0"/>
              <w:sz w:val="12"/>
            </w:rPr>
            <w:t>© 2014 Public Consulting Group.</w:t>
          </w:r>
          <w:r w:rsidRPr="0011371C">
            <w:rPr>
              <w:rFonts w:asciiTheme="minorHAnsi" w:hAnsiTheme="minorHAnsi"/>
              <w:b w:val="0"/>
              <w:i/>
              <w:sz w:val="12"/>
            </w:rPr>
            <w:t xml:space="preserve"> This work is licensed under a </w:t>
          </w:r>
        </w:p>
        <w:p w:rsidR="00540CCD" w:rsidRPr="0011371C" w:rsidRDefault="00540CCD" w:rsidP="004F2969">
          <w:pPr>
            <w:pStyle w:val="FooterText"/>
            <w:rPr>
              <w:rFonts w:asciiTheme="minorHAnsi" w:hAnsiTheme="minorHAnsi"/>
              <w:b w:val="0"/>
              <w:i/>
            </w:rPr>
          </w:pPr>
          <w:r w:rsidRPr="0011371C">
            <w:rPr>
              <w:rFonts w:asciiTheme="minorHAnsi" w:hAnsiTheme="minorHAnsi"/>
              <w:b w:val="0"/>
              <w:i/>
              <w:sz w:val="12"/>
            </w:rPr>
            <w:t>Creative Commons Attribution-NonCommercial-ShareAlike 3.0 Unported License</w:t>
          </w:r>
        </w:p>
        <w:p w:rsidR="00540CCD" w:rsidRPr="002E4C92" w:rsidRDefault="007E7968" w:rsidP="004F2969">
          <w:pPr>
            <w:pStyle w:val="FooterText"/>
          </w:pPr>
          <w:hyperlink r:id="rId1" w:history="1">
            <w:r w:rsidR="00540CCD" w:rsidRPr="001137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40CCD" w:rsidRPr="002E4C92" w:rsidRDefault="007E796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40CC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C1FC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540CCD" w:rsidRPr="002E4C92" w:rsidRDefault="00540CC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40CCD" w:rsidRPr="0039525B" w:rsidRDefault="00540CC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42" w:rsidRDefault="00BD3942" w:rsidP="00E946A0">
      <w:r>
        <w:separator/>
      </w:r>
    </w:p>
    <w:p w:rsidR="00BD3942" w:rsidRDefault="00BD3942" w:rsidP="00E946A0"/>
  </w:footnote>
  <w:footnote w:type="continuationSeparator" w:id="0">
    <w:p w:rsidR="00BD3942" w:rsidRDefault="00BD3942" w:rsidP="00E946A0">
      <w:r>
        <w:continuationSeparator/>
      </w:r>
    </w:p>
    <w:p w:rsidR="00BD3942" w:rsidRDefault="00BD3942"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40CCD" w:rsidRPr="00563CB8">
      <w:tc>
        <w:tcPr>
          <w:tcW w:w="3708" w:type="dxa"/>
          <w:shd w:val="clear" w:color="auto" w:fill="auto"/>
        </w:tcPr>
        <w:p w:rsidR="00540CCD" w:rsidRPr="00563CB8" w:rsidRDefault="00540CC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40CCD" w:rsidRPr="00563CB8" w:rsidRDefault="00540CCD" w:rsidP="00E946A0">
          <w:pPr>
            <w:jc w:val="center"/>
          </w:pPr>
          <w:r w:rsidRPr="00563CB8">
            <w:t>D R A F T</w:t>
          </w:r>
        </w:p>
      </w:tc>
      <w:tc>
        <w:tcPr>
          <w:tcW w:w="3438" w:type="dxa"/>
          <w:shd w:val="clear" w:color="auto" w:fill="auto"/>
        </w:tcPr>
        <w:p w:rsidR="00540CCD" w:rsidRPr="00E946A0" w:rsidRDefault="00540CCD" w:rsidP="007771AE">
          <w:pPr>
            <w:pStyle w:val="PageHeader"/>
            <w:jc w:val="right"/>
            <w:rPr>
              <w:b w:val="0"/>
            </w:rPr>
          </w:pPr>
          <w:r>
            <w:rPr>
              <w:b w:val="0"/>
            </w:rPr>
            <w:t>Grade 9 • Module 4 • Unit 1 • Lesson 22</w:t>
          </w:r>
        </w:p>
      </w:tc>
    </w:tr>
  </w:tbl>
  <w:p w:rsidR="00540CCD" w:rsidRDefault="00540CC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17A0BF4E"/>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5D18EF7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D12AAE2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F8BE2D08"/>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5B149014"/>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A9FCD7F0"/>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3056AB9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DB40ADAE"/>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 w:numId="10">
    <w:abstractNumId w:val="2"/>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6F31"/>
    <w:rsid w:val="00007CBA"/>
    <w:rsid w:val="00007F67"/>
    <w:rsid w:val="00011E99"/>
    <w:rsid w:val="000134DA"/>
    <w:rsid w:val="000137C5"/>
    <w:rsid w:val="00014D5D"/>
    <w:rsid w:val="00020527"/>
    <w:rsid w:val="00021589"/>
    <w:rsid w:val="00022639"/>
    <w:rsid w:val="0002335F"/>
    <w:rsid w:val="00034778"/>
    <w:rsid w:val="000402F0"/>
    <w:rsid w:val="00053088"/>
    <w:rsid w:val="00062291"/>
    <w:rsid w:val="0006233C"/>
    <w:rsid w:val="00064850"/>
    <w:rsid w:val="00066123"/>
    <w:rsid w:val="00067088"/>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A76D5"/>
    <w:rsid w:val="000B1882"/>
    <w:rsid w:val="000B2D56"/>
    <w:rsid w:val="000B3015"/>
    <w:rsid w:val="000B3836"/>
    <w:rsid w:val="000B6EA7"/>
    <w:rsid w:val="000C0112"/>
    <w:rsid w:val="000C169A"/>
    <w:rsid w:val="000C4439"/>
    <w:rsid w:val="000C4813"/>
    <w:rsid w:val="000C5656"/>
    <w:rsid w:val="000C5893"/>
    <w:rsid w:val="000D0F3D"/>
    <w:rsid w:val="000D0FAE"/>
    <w:rsid w:val="000E0B69"/>
    <w:rsid w:val="000E1FF7"/>
    <w:rsid w:val="000E4DBA"/>
    <w:rsid w:val="000F192C"/>
    <w:rsid w:val="000F2414"/>
    <w:rsid w:val="000F7D35"/>
    <w:rsid w:val="000F7F56"/>
    <w:rsid w:val="0010235F"/>
    <w:rsid w:val="00110A04"/>
    <w:rsid w:val="00111406"/>
    <w:rsid w:val="00111A39"/>
    <w:rsid w:val="00113501"/>
    <w:rsid w:val="0011371C"/>
    <w:rsid w:val="001159C2"/>
    <w:rsid w:val="001163BB"/>
    <w:rsid w:val="001215F2"/>
    <w:rsid w:val="00121C27"/>
    <w:rsid w:val="001258FD"/>
    <w:rsid w:val="00133528"/>
    <w:rsid w:val="001352AE"/>
    <w:rsid w:val="001362D4"/>
    <w:rsid w:val="00140413"/>
    <w:rsid w:val="001509EC"/>
    <w:rsid w:val="00150AAB"/>
    <w:rsid w:val="0015118C"/>
    <w:rsid w:val="00156124"/>
    <w:rsid w:val="001657A6"/>
    <w:rsid w:val="001708C2"/>
    <w:rsid w:val="001723D5"/>
    <w:rsid w:val="00175B00"/>
    <w:rsid w:val="00185EA6"/>
    <w:rsid w:val="0018630D"/>
    <w:rsid w:val="00186355"/>
    <w:rsid w:val="001864E6"/>
    <w:rsid w:val="00186FDA"/>
    <w:rsid w:val="0018762C"/>
    <w:rsid w:val="0019072E"/>
    <w:rsid w:val="00190F9D"/>
    <w:rsid w:val="00191EE7"/>
    <w:rsid w:val="001945FA"/>
    <w:rsid w:val="00194F1D"/>
    <w:rsid w:val="001A17E9"/>
    <w:rsid w:val="001A5133"/>
    <w:rsid w:val="001A7FC4"/>
    <w:rsid w:val="001B0794"/>
    <w:rsid w:val="001B1487"/>
    <w:rsid w:val="001C1C99"/>
    <w:rsid w:val="001C35E3"/>
    <w:rsid w:val="001C5188"/>
    <w:rsid w:val="001C5DF7"/>
    <w:rsid w:val="001C6B70"/>
    <w:rsid w:val="001D047B"/>
    <w:rsid w:val="001D0518"/>
    <w:rsid w:val="001D641A"/>
    <w:rsid w:val="001E189E"/>
    <w:rsid w:val="001F0991"/>
    <w:rsid w:val="001F4B02"/>
    <w:rsid w:val="001F6C4F"/>
    <w:rsid w:val="002009F7"/>
    <w:rsid w:val="0020138A"/>
    <w:rsid w:val="002041CD"/>
    <w:rsid w:val="00207C8B"/>
    <w:rsid w:val="00224590"/>
    <w:rsid w:val="002306FF"/>
    <w:rsid w:val="00231919"/>
    <w:rsid w:val="00240FF7"/>
    <w:rsid w:val="0024557C"/>
    <w:rsid w:val="00245B86"/>
    <w:rsid w:val="002516D4"/>
    <w:rsid w:val="00251A7C"/>
    <w:rsid w:val="00251DAB"/>
    <w:rsid w:val="00252D78"/>
    <w:rsid w:val="002619B1"/>
    <w:rsid w:val="002635F4"/>
    <w:rsid w:val="00263AF5"/>
    <w:rsid w:val="0026589E"/>
    <w:rsid w:val="002661A8"/>
    <w:rsid w:val="00267BFB"/>
    <w:rsid w:val="002748DB"/>
    <w:rsid w:val="00274FEB"/>
    <w:rsid w:val="00276DB9"/>
    <w:rsid w:val="0028184C"/>
    <w:rsid w:val="00284B9E"/>
    <w:rsid w:val="00284FC0"/>
    <w:rsid w:val="00290F88"/>
    <w:rsid w:val="0029527C"/>
    <w:rsid w:val="00297DC5"/>
    <w:rsid w:val="002A05CB"/>
    <w:rsid w:val="002A21DE"/>
    <w:rsid w:val="002A5337"/>
    <w:rsid w:val="002C0245"/>
    <w:rsid w:val="002C02FB"/>
    <w:rsid w:val="002C0DED"/>
    <w:rsid w:val="002C5F0D"/>
    <w:rsid w:val="002D2A5D"/>
    <w:rsid w:val="002D56EC"/>
    <w:rsid w:val="002D5EB9"/>
    <w:rsid w:val="002D632F"/>
    <w:rsid w:val="002E27AE"/>
    <w:rsid w:val="002E4C92"/>
    <w:rsid w:val="002F03D2"/>
    <w:rsid w:val="002F3D65"/>
    <w:rsid w:val="002F5367"/>
    <w:rsid w:val="003067BF"/>
    <w:rsid w:val="00311E81"/>
    <w:rsid w:val="00314DBA"/>
    <w:rsid w:val="00317306"/>
    <w:rsid w:val="003201AC"/>
    <w:rsid w:val="00321266"/>
    <w:rsid w:val="0032239A"/>
    <w:rsid w:val="003248C9"/>
    <w:rsid w:val="00330460"/>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106D"/>
    <w:rsid w:val="00372441"/>
    <w:rsid w:val="0037258B"/>
    <w:rsid w:val="00372853"/>
    <w:rsid w:val="003740A6"/>
    <w:rsid w:val="00374C35"/>
    <w:rsid w:val="00376DBB"/>
    <w:rsid w:val="003822E1"/>
    <w:rsid w:val="003826B0"/>
    <w:rsid w:val="0038382F"/>
    <w:rsid w:val="00383A2A"/>
    <w:rsid w:val="003851B2"/>
    <w:rsid w:val="003854D3"/>
    <w:rsid w:val="0038635E"/>
    <w:rsid w:val="003908D2"/>
    <w:rsid w:val="003924D0"/>
    <w:rsid w:val="0039525B"/>
    <w:rsid w:val="003A269B"/>
    <w:rsid w:val="003A3AB0"/>
    <w:rsid w:val="003A5FF3"/>
    <w:rsid w:val="003A6785"/>
    <w:rsid w:val="003B3DB9"/>
    <w:rsid w:val="003B7708"/>
    <w:rsid w:val="003C1FC7"/>
    <w:rsid w:val="003C2022"/>
    <w:rsid w:val="003C24AD"/>
    <w:rsid w:val="003C2F39"/>
    <w:rsid w:val="003D2601"/>
    <w:rsid w:val="003D27E3"/>
    <w:rsid w:val="003D28E6"/>
    <w:rsid w:val="003D50B4"/>
    <w:rsid w:val="003D7469"/>
    <w:rsid w:val="003E2C04"/>
    <w:rsid w:val="003E3757"/>
    <w:rsid w:val="003E693A"/>
    <w:rsid w:val="003E7514"/>
    <w:rsid w:val="003F2833"/>
    <w:rsid w:val="003F3D65"/>
    <w:rsid w:val="0040421A"/>
    <w:rsid w:val="00405198"/>
    <w:rsid w:val="00412A7D"/>
    <w:rsid w:val="004179FD"/>
    <w:rsid w:val="00421157"/>
    <w:rsid w:val="0042474E"/>
    <w:rsid w:val="00425D2C"/>
    <w:rsid w:val="00425E32"/>
    <w:rsid w:val="004309E1"/>
    <w:rsid w:val="00432D7F"/>
    <w:rsid w:val="00436909"/>
    <w:rsid w:val="00437FD0"/>
    <w:rsid w:val="004402AC"/>
    <w:rsid w:val="004403EE"/>
    <w:rsid w:val="00440948"/>
    <w:rsid w:val="00443793"/>
    <w:rsid w:val="004452D5"/>
    <w:rsid w:val="00446AFD"/>
    <w:rsid w:val="004528AF"/>
    <w:rsid w:val="004536D7"/>
    <w:rsid w:val="00455FC4"/>
    <w:rsid w:val="00456F88"/>
    <w:rsid w:val="004570B3"/>
    <w:rsid w:val="0045725F"/>
    <w:rsid w:val="004572D3"/>
    <w:rsid w:val="00457F98"/>
    <w:rsid w:val="00465B85"/>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602D"/>
    <w:rsid w:val="004C6CD8"/>
    <w:rsid w:val="004D487C"/>
    <w:rsid w:val="004D5473"/>
    <w:rsid w:val="004D7029"/>
    <w:rsid w:val="004E1B0E"/>
    <w:rsid w:val="004E4C52"/>
    <w:rsid w:val="004E5044"/>
    <w:rsid w:val="004E53B1"/>
    <w:rsid w:val="004F2363"/>
    <w:rsid w:val="004F2969"/>
    <w:rsid w:val="004F353F"/>
    <w:rsid w:val="004F62CF"/>
    <w:rsid w:val="00502FAD"/>
    <w:rsid w:val="00507DF5"/>
    <w:rsid w:val="00510039"/>
    <w:rsid w:val="005121D2"/>
    <w:rsid w:val="00513C73"/>
    <w:rsid w:val="00513E84"/>
    <w:rsid w:val="00517918"/>
    <w:rsid w:val="00517DC5"/>
    <w:rsid w:val="0052385B"/>
    <w:rsid w:val="0052413A"/>
    <w:rsid w:val="0052748A"/>
    <w:rsid w:val="0052769A"/>
    <w:rsid w:val="00527DE8"/>
    <w:rsid w:val="005324A5"/>
    <w:rsid w:val="00540CCD"/>
    <w:rsid w:val="00541A6A"/>
    <w:rsid w:val="00542523"/>
    <w:rsid w:val="00546D71"/>
    <w:rsid w:val="0054791C"/>
    <w:rsid w:val="0055340D"/>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1A65"/>
    <w:rsid w:val="00592D68"/>
    <w:rsid w:val="00593697"/>
    <w:rsid w:val="00595905"/>
    <w:rsid w:val="005960E3"/>
    <w:rsid w:val="005A7968"/>
    <w:rsid w:val="005B22B2"/>
    <w:rsid w:val="005B3D78"/>
    <w:rsid w:val="005B64F8"/>
    <w:rsid w:val="005B6509"/>
    <w:rsid w:val="005B7E6E"/>
    <w:rsid w:val="005C4572"/>
    <w:rsid w:val="005C7B5F"/>
    <w:rsid w:val="005D2383"/>
    <w:rsid w:val="005D4F9B"/>
    <w:rsid w:val="005D58F0"/>
    <w:rsid w:val="005D7C72"/>
    <w:rsid w:val="005E2E87"/>
    <w:rsid w:val="005F147C"/>
    <w:rsid w:val="005F5D35"/>
    <w:rsid w:val="005F657A"/>
    <w:rsid w:val="00603970"/>
    <w:rsid w:val="006044CD"/>
    <w:rsid w:val="00607856"/>
    <w:rsid w:val="006124D5"/>
    <w:rsid w:val="0062277B"/>
    <w:rsid w:val="006261E1"/>
    <w:rsid w:val="00626E4A"/>
    <w:rsid w:val="006272A9"/>
    <w:rsid w:val="006274DC"/>
    <w:rsid w:val="0063653C"/>
    <w:rsid w:val="006375AF"/>
    <w:rsid w:val="00641DC5"/>
    <w:rsid w:val="00643550"/>
    <w:rsid w:val="00644540"/>
    <w:rsid w:val="00645C3F"/>
    <w:rsid w:val="00646088"/>
    <w:rsid w:val="00647858"/>
    <w:rsid w:val="00651092"/>
    <w:rsid w:val="00653ABB"/>
    <w:rsid w:val="00660852"/>
    <w:rsid w:val="00661E0A"/>
    <w:rsid w:val="0066211A"/>
    <w:rsid w:val="00663A00"/>
    <w:rsid w:val="006661AE"/>
    <w:rsid w:val="006667A3"/>
    <w:rsid w:val="0068018C"/>
    <w:rsid w:val="00684179"/>
    <w:rsid w:val="0069247E"/>
    <w:rsid w:val="00696173"/>
    <w:rsid w:val="006A09D6"/>
    <w:rsid w:val="006A0A9E"/>
    <w:rsid w:val="006A3594"/>
    <w:rsid w:val="006B0965"/>
    <w:rsid w:val="006B61DD"/>
    <w:rsid w:val="006B7CCB"/>
    <w:rsid w:val="006C2105"/>
    <w:rsid w:val="006D2944"/>
    <w:rsid w:val="006D5208"/>
    <w:rsid w:val="006E1AD8"/>
    <w:rsid w:val="006E4C84"/>
    <w:rsid w:val="006E7A67"/>
    <w:rsid w:val="006E7D3C"/>
    <w:rsid w:val="006F2A84"/>
    <w:rsid w:val="006F3BD7"/>
    <w:rsid w:val="00706B49"/>
    <w:rsid w:val="00706F7A"/>
    <w:rsid w:val="00707670"/>
    <w:rsid w:val="00715286"/>
    <w:rsid w:val="0071568E"/>
    <w:rsid w:val="0072440D"/>
    <w:rsid w:val="00724760"/>
    <w:rsid w:val="007256E6"/>
    <w:rsid w:val="00730123"/>
    <w:rsid w:val="0073192F"/>
    <w:rsid w:val="00732D97"/>
    <w:rsid w:val="00733C74"/>
    <w:rsid w:val="00737EE7"/>
    <w:rsid w:val="00741955"/>
    <w:rsid w:val="007461E3"/>
    <w:rsid w:val="007623AE"/>
    <w:rsid w:val="0076269D"/>
    <w:rsid w:val="00766336"/>
    <w:rsid w:val="0076658E"/>
    <w:rsid w:val="00767641"/>
    <w:rsid w:val="00772135"/>
    <w:rsid w:val="00772FCA"/>
    <w:rsid w:val="0077398D"/>
    <w:rsid w:val="007771AE"/>
    <w:rsid w:val="00787A38"/>
    <w:rsid w:val="00796D57"/>
    <w:rsid w:val="00797281"/>
    <w:rsid w:val="007A0A09"/>
    <w:rsid w:val="007A1141"/>
    <w:rsid w:val="007A66B8"/>
    <w:rsid w:val="007B0EDD"/>
    <w:rsid w:val="007B764B"/>
    <w:rsid w:val="007B7CFF"/>
    <w:rsid w:val="007C14C1"/>
    <w:rsid w:val="007C7DB0"/>
    <w:rsid w:val="007D1715"/>
    <w:rsid w:val="007D2F12"/>
    <w:rsid w:val="007D359B"/>
    <w:rsid w:val="007E463A"/>
    <w:rsid w:val="007E4E86"/>
    <w:rsid w:val="007E7665"/>
    <w:rsid w:val="007E7968"/>
    <w:rsid w:val="007F3A17"/>
    <w:rsid w:val="007F4801"/>
    <w:rsid w:val="007F76FC"/>
    <w:rsid w:val="00804C62"/>
    <w:rsid w:val="00807C6B"/>
    <w:rsid w:val="00813621"/>
    <w:rsid w:val="008139A0"/>
    <w:rsid w:val="008151E5"/>
    <w:rsid w:val="00820EF9"/>
    <w:rsid w:val="0082210F"/>
    <w:rsid w:val="008228CD"/>
    <w:rsid w:val="00823974"/>
    <w:rsid w:val="008261D2"/>
    <w:rsid w:val="00831B4C"/>
    <w:rsid w:val="008336BE"/>
    <w:rsid w:val="00835495"/>
    <w:rsid w:val="008434A6"/>
    <w:rsid w:val="0084358E"/>
    <w:rsid w:val="00847A03"/>
    <w:rsid w:val="00850CE6"/>
    <w:rsid w:val="00853CF3"/>
    <w:rsid w:val="008572B2"/>
    <w:rsid w:val="00860A88"/>
    <w:rsid w:val="00864A80"/>
    <w:rsid w:val="0087025D"/>
    <w:rsid w:val="00872393"/>
    <w:rsid w:val="008732CC"/>
    <w:rsid w:val="00874AF4"/>
    <w:rsid w:val="00875D0A"/>
    <w:rsid w:val="00876632"/>
    <w:rsid w:val="00880AAD"/>
    <w:rsid w:val="00883761"/>
    <w:rsid w:val="00883EC9"/>
    <w:rsid w:val="00884AB6"/>
    <w:rsid w:val="008907FE"/>
    <w:rsid w:val="008917BC"/>
    <w:rsid w:val="00893930"/>
    <w:rsid w:val="00893A85"/>
    <w:rsid w:val="00896239"/>
    <w:rsid w:val="00897E1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674"/>
    <w:rsid w:val="008F3793"/>
    <w:rsid w:val="009000C9"/>
    <w:rsid w:val="00903656"/>
    <w:rsid w:val="009062ED"/>
    <w:rsid w:val="0090775D"/>
    <w:rsid w:val="00910D8E"/>
    <w:rsid w:val="009135A8"/>
    <w:rsid w:val="0091722D"/>
    <w:rsid w:val="00922E34"/>
    <w:rsid w:val="00933100"/>
    <w:rsid w:val="00933EB6"/>
    <w:rsid w:val="009403AD"/>
    <w:rsid w:val="0094277B"/>
    <w:rsid w:val="0096199D"/>
    <w:rsid w:val="00962802"/>
    <w:rsid w:val="00963CDE"/>
    <w:rsid w:val="00966D72"/>
    <w:rsid w:val="00967678"/>
    <w:rsid w:val="0097223B"/>
    <w:rsid w:val="009732BA"/>
    <w:rsid w:val="009758D3"/>
    <w:rsid w:val="0098148A"/>
    <w:rsid w:val="00981E43"/>
    <w:rsid w:val="009859E7"/>
    <w:rsid w:val="00991718"/>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31D9"/>
    <w:rsid w:val="009F3652"/>
    <w:rsid w:val="00A0163A"/>
    <w:rsid w:val="00A04038"/>
    <w:rsid w:val="00A07A4E"/>
    <w:rsid w:val="00A14F0A"/>
    <w:rsid w:val="00A24DAB"/>
    <w:rsid w:val="00A253EA"/>
    <w:rsid w:val="00A27FD7"/>
    <w:rsid w:val="00A3290F"/>
    <w:rsid w:val="00A32E00"/>
    <w:rsid w:val="00A4462B"/>
    <w:rsid w:val="00A4688B"/>
    <w:rsid w:val="00A65FF8"/>
    <w:rsid w:val="00A75116"/>
    <w:rsid w:val="00A77308"/>
    <w:rsid w:val="00A83024"/>
    <w:rsid w:val="00A908AC"/>
    <w:rsid w:val="00A948B3"/>
    <w:rsid w:val="00A95E92"/>
    <w:rsid w:val="00A968CA"/>
    <w:rsid w:val="00AA0831"/>
    <w:rsid w:val="00AA1DC0"/>
    <w:rsid w:val="00AA5F43"/>
    <w:rsid w:val="00AB74B5"/>
    <w:rsid w:val="00AC0E8B"/>
    <w:rsid w:val="00AC1DE5"/>
    <w:rsid w:val="00AC1F67"/>
    <w:rsid w:val="00AC2AB4"/>
    <w:rsid w:val="00AC6562"/>
    <w:rsid w:val="00AD26BF"/>
    <w:rsid w:val="00AD2E2E"/>
    <w:rsid w:val="00AD440D"/>
    <w:rsid w:val="00AE01CA"/>
    <w:rsid w:val="00AE14E2"/>
    <w:rsid w:val="00AE3076"/>
    <w:rsid w:val="00AE60EB"/>
    <w:rsid w:val="00AF1F26"/>
    <w:rsid w:val="00AF2345"/>
    <w:rsid w:val="00AF3526"/>
    <w:rsid w:val="00AF5A63"/>
    <w:rsid w:val="00B00346"/>
    <w:rsid w:val="00B01708"/>
    <w:rsid w:val="00B01B33"/>
    <w:rsid w:val="00B044E7"/>
    <w:rsid w:val="00B06E04"/>
    <w:rsid w:val="00B0735A"/>
    <w:rsid w:val="00B10BF2"/>
    <w:rsid w:val="00B1409A"/>
    <w:rsid w:val="00B205E1"/>
    <w:rsid w:val="00B20B90"/>
    <w:rsid w:val="00B231AA"/>
    <w:rsid w:val="00B23AD5"/>
    <w:rsid w:val="00B27639"/>
    <w:rsid w:val="00B30BF5"/>
    <w:rsid w:val="00B31BA2"/>
    <w:rsid w:val="00B46C45"/>
    <w:rsid w:val="00B5282C"/>
    <w:rsid w:val="00B57A9F"/>
    <w:rsid w:val="00B6092B"/>
    <w:rsid w:val="00B66DB7"/>
    <w:rsid w:val="00B71188"/>
    <w:rsid w:val="00B7194E"/>
    <w:rsid w:val="00B75489"/>
    <w:rsid w:val="00B76D5E"/>
    <w:rsid w:val="00B80621"/>
    <w:rsid w:val="00B84797"/>
    <w:rsid w:val="00B854DE"/>
    <w:rsid w:val="00B85CB8"/>
    <w:rsid w:val="00B913D8"/>
    <w:rsid w:val="00B91FC7"/>
    <w:rsid w:val="00B970F8"/>
    <w:rsid w:val="00BA15C4"/>
    <w:rsid w:val="00BA4548"/>
    <w:rsid w:val="00BA46CB"/>
    <w:rsid w:val="00BA536E"/>
    <w:rsid w:val="00BA6CB2"/>
    <w:rsid w:val="00BA6D7A"/>
    <w:rsid w:val="00BA6E05"/>
    <w:rsid w:val="00BA7D7C"/>
    <w:rsid w:val="00BA7F1C"/>
    <w:rsid w:val="00BB27BA"/>
    <w:rsid w:val="00BB3487"/>
    <w:rsid w:val="00BB459A"/>
    <w:rsid w:val="00BB4709"/>
    <w:rsid w:val="00BC1873"/>
    <w:rsid w:val="00BC3880"/>
    <w:rsid w:val="00BC4ADE"/>
    <w:rsid w:val="00BC54A9"/>
    <w:rsid w:val="00BC55AA"/>
    <w:rsid w:val="00BD28C9"/>
    <w:rsid w:val="00BD3942"/>
    <w:rsid w:val="00BD7AD4"/>
    <w:rsid w:val="00BD7B6F"/>
    <w:rsid w:val="00BE3DA4"/>
    <w:rsid w:val="00BE4EBD"/>
    <w:rsid w:val="00BE6EFE"/>
    <w:rsid w:val="00BF1EE8"/>
    <w:rsid w:val="00BF6DF5"/>
    <w:rsid w:val="00C02E75"/>
    <w:rsid w:val="00C02EC2"/>
    <w:rsid w:val="00C07D88"/>
    <w:rsid w:val="00C151B9"/>
    <w:rsid w:val="00C17AF0"/>
    <w:rsid w:val="00C2048A"/>
    <w:rsid w:val="00C208EA"/>
    <w:rsid w:val="00C2283A"/>
    <w:rsid w:val="00C24F84"/>
    <w:rsid w:val="00C252EF"/>
    <w:rsid w:val="00C25C43"/>
    <w:rsid w:val="00C27E34"/>
    <w:rsid w:val="00C34B83"/>
    <w:rsid w:val="00C419B4"/>
    <w:rsid w:val="00C424C5"/>
    <w:rsid w:val="00C42C58"/>
    <w:rsid w:val="00C441BE"/>
    <w:rsid w:val="00C4787C"/>
    <w:rsid w:val="00C5015B"/>
    <w:rsid w:val="00C512D6"/>
    <w:rsid w:val="00C52FD6"/>
    <w:rsid w:val="00C674A7"/>
    <w:rsid w:val="00C7162F"/>
    <w:rsid w:val="00C745E1"/>
    <w:rsid w:val="00C90B6E"/>
    <w:rsid w:val="00C920BB"/>
    <w:rsid w:val="00C9359E"/>
    <w:rsid w:val="00C94AC5"/>
    <w:rsid w:val="00C9623A"/>
    <w:rsid w:val="00CA53F8"/>
    <w:rsid w:val="00CA6CC7"/>
    <w:rsid w:val="00CB4795"/>
    <w:rsid w:val="00CB5CEE"/>
    <w:rsid w:val="00CC1BF8"/>
    <w:rsid w:val="00CC2982"/>
    <w:rsid w:val="00CC3C40"/>
    <w:rsid w:val="00CC5937"/>
    <w:rsid w:val="00CC605E"/>
    <w:rsid w:val="00CC6E60"/>
    <w:rsid w:val="00CD1A34"/>
    <w:rsid w:val="00CD3A81"/>
    <w:rsid w:val="00CD4793"/>
    <w:rsid w:val="00CD61D0"/>
    <w:rsid w:val="00CE0D9A"/>
    <w:rsid w:val="00CE2836"/>
    <w:rsid w:val="00CE464C"/>
    <w:rsid w:val="00CE5BEA"/>
    <w:rsid w:val="00CE6C54"/>
    <w:rsid w:val="00CF08C2"/>
    <w:rsid w:val="00CF2582"/>
    <w:rsid w:val="00CF2986"/>
    <w:rsid w:val="00CF498D"/>
    <w:rsid w:val="00D031FA"/>
    <w:rsid w:val="00D066C5"/>
    <w:rsid w:val="00D22B12"/>
    <w:rsid w:val="00D2326D"/>
    <w:rsid w:val="00D257AC"/>
    <w:rsid w:val="00D27639"/>
    <w:rsid w:val="00D3179C"/>
    <w:rsid w:val="00D31C4D"/>
    <w:rsid w:val="00D3492E"/>
    <w:rsid w:val="00D36C11"/>
    <w:rsid w:val="00D374A9"/>
    <w:rsid w:val="00D41B54"/>
    <w:rsid w:val="00D4259D"/>
    <w:rsid w:val="00D44710"/>
    <w:rsid w:val="00D4700C"/>
    <w:rsid w:val="00D4785C"/>
    <w:rsid w:val="00D479EE"/>
    <w:rsid w:val="00D47EC4"/>
    <w:rsid w:val="00D52801"/>
    <w:rsid w:val="00D5676B"/>
    <w:rsid w:val="00D57066"/>
    <w:rsid w:val="00D920A6"/>
    <w:rsid w:val="00D9328F"/>
    <w:rsid w:val="00D93429"/>
    <w:rsid w:val="00D94FAB"/>
    <w:rsid w:val="00D95A65"/>
    <w:rsid w:val="00D9605C"/>
    <w:rsid w:val="00DA030E"/>
    <w:rsid w:val="00DB34C3"/>
    <w:rsid w:val="00DB3C98"/>
    <w:rsid w:val="00DB6416"/>
    <w:rsid w:val="00DC0419"/>
    <w:rsid w:val="00DC0591"/>
    <w:rsid w:val="00DC5FF0"/>
    <w:rsid w:val="00DC7604"/>
    <w:rsid w:val="00DD207B"/>
    <w:rsid w:val="00DD6609"/>
    <w:rsid w:val="00DD6BA0"/>
    <w:rsid w:val="00DE6E0A"/>
    <w:rsid w:val="00DF3D1C"/>
    <w:rsid w:val="00DF5111"/>
    <w:rsid w:val="00E0286B"/>
    <w:rsid w:val="00E10A48"/>
    <w:rsid w:val="00E126D0"/>
    <w:rsid w:val="00E1296F"/>
    <w:rsid w:val="00E16070"/>
    <w:rsid w:val="00E173B3"/>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340C"/>
    <w:rsid w:val="00E74E9A"/>
    <w:rsid w:val="00E7559A"/>
    <w:rsid w:val="00E7754E"/>
    <w:rsid w:val="00E83576"/>
    <w:rsid w:val="00E9190E"/>
    <w:rsid w:val="00E93803"/>
    <w:rsid w:val="00E946A0"/>
    <w:rsid w:val="00E97BAC"/>
    <w:rsid w:val="00EA0C17"/>
    <w:rsid w:val="00EA25AA"/>
    <w:rsid w:val="00EA3693"/>
    <w:rsid w:val="00EA44C5"/>
    <w:rsid w:val="00EA74B5"/>
    <w:rsid w:val="00EB4655"/>
    <w:rsid w:val="00EB4AAC"/>
    <w:rsid w:val="00EB56BF"/>
    <w:rsid w:val="00EB6D24"/>
    <w:rsid w:val="00EB782B"/>
    <w:rsid w:val="00EC15E4"/>
    <w:rsid w:val="00EC1E30"/>
    <w:rsid w:val="00EC238E"/>
    <w:rsid w:val="00EC3F22"/>
    <w:rsid w:val="00EC53CA"/>
    <w:rsid w:val="00ED0044"/>
    <w:rsid w:val="00ED34EC"/>
    <w:rsid w:val="00ED491F"/>
    <w:rsid w:val="00EE360E"/>
    <w:rsid w:val="00EE5F60"/>
    <w:rsid w:val="00EE66B9"/>
    <w:rsid w:val="00EF12C5"/>
    <w:rsid w:val="00EF7709"/>
    <w:rsid w:val="00F07B41"/>
    <w:rsid w:val="00F10E78"/>
    <w:rsid w:val="00F10E87"/>
    <w:rsid w:val="00F12958"/>
    <w:rsid w:val="00F143C7"/>
    <w:rsid w:val="00F178AA"/>
    <w:rsid w:val="00F17E0F"/>
    <w:rsid w:val="00F21CD9"/>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866"/>
    <w:rsid w:val="00F60C57"/>
    <w:rsid w:val="00F64807"/>
    <w:rsid w:val="00F64C97"/>
    <w:rsid w:val="00F6568B"/>
    <w:rsid w:val="00F76583"/>
    <w:rsid w:val="00F814D5"/>
    <w:rsid w:val="00F87643"/>
    <w:rsid w:val="00F877A0"/>
    <w:rsid w:val="00F92CB6"/>
    <w:rsid w:val="00F942C8"/>
    <w:rsid w:val="00FA0A05"/>
    <w:rsid w:val="00FA19A7"/>
    <w:rsid w:val="00FA3204"/>
    <w:rsid w:val="00FA3976"/>
    <w:rsid w:val="00FB2878"/>
    <w:rsid w:val="00FB75ED"/>
    <w:rsid w:val="00FB7B90"/>
    <w:rsid w:val="00FC3378"/>
    <w:rsid w:val="00FC349F"/>
    <w:rsid w:val="00FC4A99"/>
    <w:rsid w:val="00FC714C"/>
    <w:rsid w:val="00FD1AB2"/>
    <w:rsid w:val="00FD275D"/>
    <w:rsid w:val="00FD6A91"/>
    <w:rsid w:val="00FE06D2"/>
    <w:rsid w:val="00FE12D4"/>
    <w:rsid w:val="00FE28A3"/>
    <w:rsid w:val="00FE2A44"/>
    <w:rsid w:val="00FE5FD6"/>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11371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11371C"/>
    <w:rPr>
      <w:rFonts w:asciiTheme="minorHAnsi" w:eastAsia="Times New Roman" w:hAnsiTheme="minorHAnsi" w:cs="Times New Roman"/>
      <w:b/>
      <w:bCs/>
      <w:i w:val="0"/>
      <w:color w:val="4F81BD"/>
      <w:sz w:val="28"/>
      <w:szCs w:val="26"/>
    </w:rPr>
  </w:style>
  <w:style w:type="paragraph" w:customStyle="1" w:styleId="TA">
    <w:name w:val="*TA*"/>
    <w:link w:val="TAChar"/>
    <w:qFormat/>
    <w:rsid w:val="0011371C"/>
    <w:pPr>
      <w:spacing w:before="180" w:after="180"/>
    </w:pPr>
    <w:rPr>
      <w:sz w:val="22"/>
      <w:szCs w:val="22"/>
    </w:rPr>
  </w:style>
  <w:style w:type="character" w:customStyle="1" w:styleId="TAChar">
    <w:name w:val="*TA* Char"/>
    <w:basedOn w:val="DefaultParagraphFont"/>
    <w:link w:val="TA"/>
    <w:rsid w:val="0011371C"/>
    <w:rPr>
      <w:sz w:val="22"/>
      <w:szCs w:val="22"/>
    </w:rPr>
  </w:style>
  <w:style w:type="paragraph" w:customStyle="1" w:styleId="IN">
    <w:name w:val="*IN*"/>
    <w:link w:val="INChar"/>
    <w:qFormat/>
    <w:rsid w:val="0011371C"/>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11371C"/>
    <w:pPr>
      <w:numPr>
        <w:numId w:val="2"/>
      </w:numPr>
      <w:spacing w:before="60" w:after="60" w:line="276" w:lineRule="auto"/>
      <w:ind w:left="360"/>
    </w:pPr>
    <w:rPr>
      <w:sz w:val="22"/>
      <w:szCs w:val="22"/>
    </w:rPr>
  </w:style>
  <w:style w:type="character" w:customStyle="1" w:styleId="INChar">
    <w:name w:val="*IN* Char"/>
    <w:basedOn w:val="DefaultParagraphFont"/>
    <w:link w:val="IN"/>
    <w:rsid w:val="0011371C"/>
    <w:rPr>
      <w:color w:val="4F81BD" w:themeColor="accent1"/>
      <w:sz w:val="22"/>
      <w:szCs w:val="22"/>
    </w:rPr>
  </w:style>
  <w:style w:type="paragraph" w:customStyle="1" w:styleId="NumberedList">
    <w:name w:val="*Numbered List"/>
    <w:link w:val="NumberedListChar"/>
    <w:qFormat/>
    <w:rsid w:val="0011371C"/>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11371C"/>
    <w:rPr>
      <w:sz w:val="22"/>
      <w:szCs w:val="22"/>
    </w:rPr>
  </w:style>
  <w:style w:type="paragraph" w:customStyle="1" w:styleId="TableHeaders">
    <w:name w:val="*TableHeaders"/>
    <w:basedOn w:val="Normal"/>
    <w:link w:val="TableHeadersChar"/>
    <w:qFormat/>
    <w:rsid w:val="0011371C"/>
    <w:pPr>
      <w:spacing w:before="40" w:after="40" w:line="240" w:lineRule="auto"/>
    </w:pPr>
    <w:rPr>
      <w:b/>
      <w:color w:val="FFFFFF" w:themeColor="background1"/>
    </w:rPr>
  </w:style>
  <w:style w:type="character" w:customStyle="1" w:styleId="NumberedListChar">
    <w:name w:val="*Numbered List Char"/>
    <w:basedOn w:val="BulletedListChar"/>
    <w:link w:val="NumberedList"/>
    <w:rsid w:val="0011371C"/>
    <w:rPr>
      <w:sz w:val="22"/>
      <w:szCs w:val="22"/>
    </w:rPr>
  </w:style>
  <w:style w:type="paragraph" w:customStyle="1" w:styleId="PageHeader">
    <w:name w:val="*PageHeader"/>
    <w:link w:val="PageHeaderChar"/>
    <w:qFormat/>
    <w:rsid w:val="0011371C"/>
    <w:pPr>
      <w:spacing w:before="120"/>
    </w:pPr>
    <w:rPr>
      <w:rFonts w:cs="Calibri"/>
      <w:b/>
      <w:sz w:val="18"/>
      <w:szCs w:val="22"/>
    </w:rPr>
  </w:style>
  <w:style w:type="character" w:customStyle="1" w:styleId="TableHeadersChar">
    <w:name w:val="*TableHeaders Char"/>
    <w:basedOn w:val="DefaultParagraphFont"/>
    <w:link w:val="TableHeaders"/>
    <w:rsid w:val="0011371C"/>
    <w:rPr>
      <w:b/>
      <w:color w:val="FFFFFF" w:themeColor="background1"/>
      <w:sz w:val="22"/>
      <w:szCs w:val="22"/>
    </w:rPr>
  </w:style>
  <w:style w:type="paragraph" w:customStyle="1" w:styleId="Q">
    <w:name w:val="*Q*"/>
    <w:link w:val="QChar"/>
    <w:qFormat/>
    <w:rsid w:val="0011371C"/>
    <w:pPr>
      <w:spacing w:before="240" w:line="276" w:lineRule="auto"/>
    </w:pPr>
    <w:rPr>
      <w:rFonts w:eastAsia="Times New Roman"/>
      <w:b/>
      <w:sz w:val="22"/>
      <w:szCs w:val="22"/>
    </w:rPr>
  </w:style>
  <w:style w:type="character" w:customStyle="1" w:styleId="PageHeaderChar">
    <w:name w:val="*PageHeader Char"/>
    <w:basedOn w:val="BodyTextChar"/>
    <w:link w:val="PageHeader"/>
    <w:rsid w:val="0011371C"/>
    <w:rPr>
      <w:rFonts w:cs="Calibri"/>
      <w:b/>
      <w:sz w:val="18"/>
      <w:szCs w:val="22"/>
    </w:rPr>
  </w:style>
  <w:style w:type="character" w:customStyle="1" w:styleId="QChar">
    <w:name w:val="*Q* Char"/>
    <w:basedOn w:val="ListParagraphChar"/>
    <w:link w:val="Q"/>
    <w:rsid w:val="0011371C"/>
    <w:rPr>
      <w:rFonts w:eastAsia="Times New Roman"/>
      <w:b/>
      <w:sz w:val="22"/>
      <w:szCs w:val="22"/>
    </w:rPr>
  </w:style>
  <w:style w:type="paragraph" w:customStyle="1" w:styleId="SASRBullet">
    <w:name w:val="*SA/SR Bullet"/>
    <w:basedOn w:val="Normal"/>
    <w:link w:val="SASRBulletChar"/>
    <w:qFormat/>
    <w:rsid w:val="0011371C"/>
    <w:pPr>
      <w:numPr>
        <w:ilvl w:val="1"/>
        <w:numId w:val="7"/>
      </w:numPr>
      <w:spacing w:before="120"/>
      <w:ind w:left="1080"/>
      <w:contextualSpacing/>
    </w:pPr>
  </w:style>
  <w:style w:type="paragraph" w:customStyle="1" w:styleId="INBullet">
    <w:name w:val="*IN* Bullet"/>
    <w:link w:val="INBulletChar"/>
    <w:qFormat/>
    <w:rsid w:val="0011371C"/>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11371C"/>
    <w:rPr>
      <w:sz w:val="22"/>
      <w:szCs w:val="22"/>
    </w:rPr>
  </w:style>
  <w:style w:type="character" w:customStyle="1" w:styleId="INBulletChar">
    <w:name w:val="*IN* Bullet Char"/>
    <w:basedOn w:val="BulletedListChar"/>
    <w:link w:val="INBullet"/>
    <w:rsid w:val="0011371C"/>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11371C"/>
    <w:pPr>
      <w:numPr>
        <w:numId w:val="6"/>
      </w:numPr>
      <w:spacing w:before="120" w:line="276" w:lineRule="auto"/>
    </w:pPr>
    <w:rPr>
      <w:rFonts w:eastAsia="Times New Roman"/>
      <w:sz w:val="22"/>
      <w:szCs w:val="22"/>
    </w:rPr>
  </w:style>
  <w:style w:type="paragraph" w:customStyle="1" w:styleId="SR">
    <w:name w:val="*SR*"/>
    <w:link w:val="SRChar"/>
    <w:qFormat/>
    <w:rsid w:val="0011371C"/>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11371C"/>
    <w:rPr>
      <w:rFonts w:eastAsia="Times New Roman"/>
      <w:sz w:val="22"/>
      <w:szCs w:val="22"/>
    </w:rPr>
  </w:style>
  <w:style w:type="character" w:customStyle="1" w:styleId="SRChar">
    <w:name w:val="*SR* Char"/>
    <w:basedOn w:val="ListParagraphChar"/>
    <w:link w:val="SR"/>
    <w:rsid w:val="0011371C"/>
    <w:rPr>
      <w:rFonts w:eastAsia="Times New Roman"/>
      <w:sz w:val="22"/>
      <w:szCs w:val="22"/>
    </w:rPr>
  </w:style>
  <w:style w:type="paragraph" w:customStyle="1" w:styleId="BR">
    <w:name w:val="*BR*"/>
    <w:link w:val="BRChar"/>
    <w:qFormat/>
    <w:rsid w:val="0011371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1371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1371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11371C"/>
    <w:rPr>
      <w:rFonts w:ascii="Verdana" w:eastAsia="Verdana" w:hAnsi="Verdana" w:cs="Calibri"/>
      <w:b/>
      <w:color w:val="595959"/>
      <w:sz w:val="14"/>
      <w:szCs w:val="22"/>
    </w:rPr>
  </w:style>
  <w:style w:type="paragraph" w:customStyle="1" w:styleId="TableText">
    <w:name w:val="*TableText"/>
    <w:link w:val="TableTextChar"/>
    <w:qFormat/>
    <w:rsid w:val="0011371C"/>
    <w:pPr>
      <w:spacing w:before="40" w:after="40" w:line="276" w:lineRule="auto"/>
    </w:pPr>
    <w:rPr>
      <w:sz w:val="22"/>
      <w:szCs w:val="22"/>
    </w:rPr>
  </w:style>
  <w:style w:type="character" w:customStyle="1" w:styleId="TableTextChar">
    <w:name w:val="*TableText Char"/>
    <w:basedOn w:val="DefaultParagraphFont"/>
    <w:link w:val="TableText"/>
    <w:rsid w:val="0011371C"/>
    <w:rPr>
      <w:sz w:val="22"/>
      <w:szCs w:val="22"/>
    </w:rPr>
  </w:style>
  <w:style w:type="paragraph" w:customStyle="1" w:styleId="ToolHeader">
    <w:name w:val="*ToolHeader"/>
    <w:qFormat/>
    <w:rsid w:val="0011371C"/>
    <w:pPr>
      <w:spacing w:after="120"/>
    </w:pPr>
    <w:rPr>
      <w:rFonts w:asciiTheme="minorHAnsi" w:hAnsiTheme="minorHAnsi"/>
      <w:b/>
      <w:bCs/>
      <w:color w:val="365F91"/>
      <w:sz w:val="32"/>
      <w:szCs w:val="28"/>
    </w:rPr>
  </w:style>
  <w:style w:type="paragraph" w:customStyle="1" w:styleId="ToolTableText">
    <w:name w:val="*ToolTableText"/>
    <w:qFormat/>
    <w:rsid w:val="0011371C"/>
    <w:pPr>
      <w:spacing w:before="40" w:after="120"/>
    </w:pPr>
    <w:rPr>
      <w:sz w:val="22"/>
      <w:szCs w:val="22"/>
    </w:rPr>
  </w:style>
  <w:style w:type="paragraph" w:customStyle="1" w:styleId="ExcerptTitle">
    <w:name w:val="*ExcerptTitle"/>
    <w:basedOn w:val="Normal"/>
    <w:link w:val="ExcerptTitleChar"/>
    <w:qFormat/>
    <w:rsid w:val="0011371C"/>
    <w:pPr>
      <w:jc w:val="center"/>
    </w:pPr>
    <w:rPr>
      <w:rFonts w:asciiTheme="majorHAnsi" w:hAnsiTheme="majorHAnsi"/>
      <w:b/>
      <w:smallCaps/>
      <w:sz w:val="32"/>
    </w:rPr>
  </w:style>
  <w:style w:type="paragraph" w:customStyle="1" w:styleId="ExcerptAuthor">
    <w:name w:val="*ExcerptAuthor"/>
    <w:basedOn w:val="Normal"/>
    <w:link w:val="ExcerptAuthorChar"/>
    <w:qFormat/>
    <w:rsid w:val="0011371C"/>
    <w:pPr>
      <w:jc w:val="center"/>
    </w:pPr>
    <w:rPr>
      <w:rFonts w:asciiTheme="majorHAnsi" w:hAnsiTheme="majorHAnsi"/>
      <w:b/>
    </w:rPr>
  </w:style>
  <w:style w:type="character" w:customStyle="1" w:styleId="ExcerptTitleChar">
    <w:name w:val="*ExcerptTitle Char"/>
    <w:basedOn w:val="DefaultParagraphFont"/>
    <w:link w:val="ExcerptTitle"/>
    <w:rsid w:val="0011371C"/>
    <w:rPr>
      <w:rFonts w:asciiTheme="majorHAnsi" w:hAnsiTheme="majorHAnsi"/>
      <w:b/>
      <w:smallCaps/>
      <w:sz w:val="32"/>
      <w:szCs w:val="22"/>
    </w:rPr>
  </w:style>
  <w:style w:type="paragraph" w:customStyle="1" w:styleId="ExcerptBody">
    <w:name w:val="*ExcerptBody"/>
    <w:basedOn w:val="Normal"/>
    <w:link w:val="ExcerptBodyChar"/>
    <w:qFormat/>
    <w:rsid w:val="0011371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1371C"/>
    <w:rPr>
      <w:rFonts w:asciiTheme="majorHAnsi" w:hAnsiTheme="majorHAnsi"/>
      <w:b/>
      <w:sz w:val="22"/>
      <w:szCs w:val="22"/>
    </w:rPr>
  </w:style>
  <w:style w:type="character" w:customStyle="1" w:styleId="ExcerptBodyChar">
    <w:name w:val="*ExcerptBody Char"/>
    <w:basedOn w:val="DefaultParagraphFont"/>
    <w:link w:val="ExcerptBody"/>
    <w:rsid w:val="0011371C"/>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11371C"/>
    <w:pPr>
      <w:numPr>
        <w:numId w:val="9"/>
      </w:numPr>
    </w:pPr>
  </w:style>
  <w:style w:type="character" w:customStyle="1" w:styleId="SubStandardChar">
    <w:name w:val="*SubStandard Char"/>
    <w:basedOn w:val="TableTextChar"/>
    <w:link w:val="SubStandard"/>
    <w:rsid w:val="0011371C"/>
    <w:rPr>
      <w:sz w:val="22"/>
      <w:szCs w:val="22"/>
    </w:rPr>
  </w:style>
  <w:style w:type="paragraph" w:customStyle="1" w:styleId="Normal1">
    <w:name w:val="Normal1"/>
    <w:rsid w:val="000E1FF7"/>
    <w:pPr>
      <w:widowControl w:val="0"/>
      <w:spacing w:before="60" w:after="180" w:line="276" w:lineRule="auto"/>
    </w:pPr>
    <w:rPr>
      <w:rFonts w:cs="Calibri"/>
      <w:color w:val="000000"/>
      <w:sz w:val="22"/>
      <w:szCs w:val="24"/>
      <w:lang w:eastAsia="ja-JP"/>
    </w:rPr>
  </w:style>
  <w:style w:type="table" w:customStyle="1" w:styleId="TableGrid1">
    <w:name w:val="Table Grid1"/>
    <w:basedOn w:val="TableNormal"/>
    <w:next w:val="TableGrid"/>
    <w:uiPriority w:val="59"/>
    <w:rsid w:val="007F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F877A0"/>
    <w:rPr>
      <w:sz w:val="22"/>
      <w:szCs w:val="22"/>
    </w:rPr>
  </w:style>
  <w:style w:type="paragraph" w:styleId="NoSpacing">
    <w:name w:val="No Spacing"/>
    <w:uiPriority w:val="99"/>
    <w:rsid w:val="006D2944"/>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A698-A34B-47A5-9090-D5135AB2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16639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2014-03-28T19:41:00Z</cp:lastPrinted>
  <dcterms:created xsi:type="dcterms:W3CDTF">2014-04-04T16:34:00Z</dcterms:created>
  <dcterms:modified xsi:type="dcterms:W3CDTF">2014-04-04T16:34:00Z</dcterms:modified>
</cp:coreProperties>
</file>