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/>
      </w:tblPr>
      <w:tblGrid>
        <w:gridCol w:w="1980"/>
        <w:gridCol w:w="7470"/>
      </w:tblGrid>
      <w:tr w:rsidR="00F814D5" w:rsidRPr="00DB34C3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F814D5" w:rsidRPr="00DB34C3" w:rsidRDefault="008E5760" w:rsidP="008E5760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  <w:r w:rsidR="00676F71">
              <w:rPr>
                <w:rFonts w:asciiTheme="minorHAnsi" w:hAnsiTheme="minorHAnsi"/>
              </w:rPr>
              <w:t>.1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F814D5" w:rsidRPr="00DB34C3" w:rsidRDefault="00F51710" w:rsidP="00B231AA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DB34C3">
              <w:rPr>
                <w:rFonts w:asciiTheme="minorHAnsi" w:hAnsiTheme="minorHAnsi"/>
              </w:rPr>
              <w:t xml:space="preserve">Lesson </w:t>
            </w:r>
            <w:r w:rsidR="00822646">
              <w:rPr>
                <w:rFonts w:asciiTheme="minorHAnsi" w:hAnsiTheme="minorHAnsi"/>
              </w:rPr>
              <w:t>19</w:t>
            </w:r>
          </w:p>
        </w:tc>
      </w:tr>
    </w:tbl>
    <w:p w:rsidR="005C4572" w:rsidRDefault="00C4787C" w:rsidP="00E946A0">
      <w:pPr>
        <w:pStyle w:val="Heading1"/>
      </w:pPr>
      <w:r w:rsidRPr="00263AF5">
        <w:t>Introduction</w:t>
      </w:r>
    </w:p>
    <w:p w:rsidR="002A675A" w:rsidRDefault="005A798D" w:rsidP="00676F71">
      <w:r>
        <w:t>In this lesson, students</w:t>
      </w:r>
      <w:r w:rsidR="008E5760">
        <w:t xml:space="preserve"> finish reading “Where Sweatshops Are a Dream” by Nicholas </w:t>
      </w:r>
      <w:r w:rsidR="000E7908">
        <w:t>Kristof</w:t>
      </w:r>
      <w:r w:rsidR="008E5760">
        <w:t xml:space="preserve"> and </w:t>
      </w:r>
      <w:r w:rsidR="00A22C16">
        <w:t xml:space="preserve">continue to </w:t>
      </w:r>
      <w:r w:rsidR="009D6E45">
        <w:t xml:space="preserve">analyze and explore argument writing in preparation for </w:t>
      </w:r>
      <w:r w:rsidR="0005334E">
        <w:t xml:space="preserve">the </w:t>
      </w:r>
      <w:r w:rsidR="001A6802">
        <w:t>E</w:t>
      </w:r>
      <w:r w:rsidR="0005334E">
        <w:t>nd-of-</w:t>
      </w:r>
      <w:r w:rsidR="001A6802">
        <w:t>U</w:t>
      </w:r>
      <w:r w:rsidR="0005334E">
        <w:t xml:space="preserve">nit </w:t>
      </w:r>
      <w:r w:rsidR="001A6802">
        <w:t>A</w:t>
      </w:r>
      <w:r w:rsidR="0005334E">
        <w:t>ssessment</w:t>
      </w:r>
      <w:r w:rsidR="00A22C16">
        <w:t xml:space="preserve">. Students </w:t>
      </w:r>
      <w:r w:rsidR="00FA167B">
        <w:t xml:space="preserve">analyze </w:t>
      </w:r>
      <w:r w:rsidR="008E5760">
        <w:t>the author</w:t>
      </w:r>
      <w:r w:rsidR="00FA167B">
        <w:t>’s claims</w:t>
      </w:r>
      <w:r w:rsidR="008E5760">
        <w:t xml:space="preserve"> </w:t>
      </w:r>
      <w:r w:rsidR="00FA167B">
        <w:t xml:space="preserve">and </w:t>
      </w:r>
      <w:r w:rsidR="008E5760">
        <w:t xml:space="preserve">evidence </w:t>
      </w:r>
      <w:r w:rsidR="003B07D1">
        <w:t xml:space="preserve">in order </w:t>
      </w:r>
      <w:r w:rsidR="008E5760">
        <w:t xml:space="preserve">to </w:t>
      </w:r>
      <w:r w:rsidR="00FA167B">
        <w:t xml:space="preserve">deepen their understanding of the ways </w:t>
      </w:r>
      <w:r w:rsidR="003B07D1">
        <w:t xml:space="preserve">in which </w:t>
      </w:r>
      <w:r w:rsidR="00FA167B">
        <w:t>authors construct arguments</w:t>
      </w:r>
      <w:r w:rsidR="00A22C16">
        <w:t xml:space="preserve">. </w:t>
      </w:r>
      <w:r>
        <w:t>Students</w:t>
      </w:r>
      <w:r w:rsidR="00FA167B">
        <w:t xml:space="preserve"> </w:t>
      </w:r>
      <w:r w:rsidR="00CA2572">
        <w:t>a</w:t>
      </w:r>
      <w:r w:rsidR="000F67A1">
        <w:t>re</w:t>
      </w:r>
      <w:r w:rsidR="00FA167B">
        <w:t xml:space="preserve"> assessed using the </w:t>
      </w:r>
      <w:r w:rsidR="001E1FF8" w:rsidRPr="001A6802">
        <w:t>Evaluating Argument and Evidence Too</w:t>
      </w:r>
      <w:r w:rsidR="00E063AC" w:rsidRPr="001A6802">
        <w:t>l</w:t>
      </w:r>
      <w:r w:rsidR="00A22C16">
        <w:t xml:space="preserve">, which </w:t>
      </w:r>
      <w:r w:rsidR="00FA167B">
        <w:t xml:space="preserve">helps them </w:t>
      </w:r>
      <w:r w:rsidR="00D607E1">
        <w:t>delineate and</w:t>
      </w:r>
      <w:r w:rsidR="0061668C">
        <w:t xml:space="preserve"> evaluate the author’s argument</w:t>
      </w:r>
      <w:r w:rsidR="00E00783">
        <w:t xml:space="preserve"> by identifying </w:t>
      </w:r>
      <w:r w:rsidR="0061668C">
        <w:t>claims and supporting evidence</w:t>
      </w:r>
      <w:r w:rsidR="008E5760">
        <w:t xml:space="preserve">. </w:t>
      </w:r>
    </w:p>
    <w:p w:rsidR="00277421" w:rsidRPr="00277421" w:rsidRDefault="00277421" w:rsidP="00676F71">
      <w:r>
        <w:t>F</w:t>
      </w:r>
      <w:bookmarkStart w:id="0" w:name="OLE_LINK4"/>
      <w:r>
        <w:t>or homework, students</w:t>
      </w:r>
      <w:r w:rsidR="001638C9">
        <w:t xml:space="preserve"> </w:t>
      </w:r>
      <w:r>
        <w:t>read “Slavery or Freedom? The In-Between</w:t>
      </w:r>
      <w:r w:rsidR="002A675A">
        <w:t>,</w:t>
      </w:r>
      <w:r>
        <w:t>” “Reform</w:t>
      </w:r>
      <w:r w:rsidR="002A675A">
        <w:t>,</w:t>
      </w:r>
      <w:r w:rsidR="00553562">
        <w:t>” and “Sugar and Science”</w:t>
      </w:r>
      <w:r>
        <w:t xml:space="preserve"> of </w:t>
      </w:r>
      <w:r w:rsidRPr="00277421">
        <w:rPr>
          <w:i/>
        </w:rPr>
        <w:t>Sugar Changed the World</w:t>
      </w:r>
      <w:r>
        <w:rPr>
          <w:i/>
        </w:rPr>
        <w:t xml:space="preserve"> </w:t>
      </w:r>
      <w:r w:rsidR="00553562">
        <w:t xml:space="preserve">(pp. 108–114) </w:t>
      </w:r>
      <w:r>
        <w:t>and answer the homework question prompts.</w:t>
      </w:r>
      <w:bookmarkEnd w:id="0"/>
      <w:r w:rsidR="002A675A">
        <w:t xml:space="preserve"> </w:t>
      </w:r>
      <w:r w:rsidR="00B43704">
        <w:t xml:space="preserve"> </w:t>
      </w:r>
    </w:p>
    <w:p w:rsidR="00C4787C" w:rsidRDefault="00C4787C" w:rsidP="00277421">
      <w:pPr>
        <w:pStyle w:val="Heading1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44"/>
        <w:gridCol w:w="8124"/>
      </w:tblGrid>
      <w:tr w:rsidR="00F308FF" w:rsidRPr="002E4C92">
        <w:tc>
          <w:tcPr>
            <w:tcW w:w="9468" w:type="dxa"/>
            <w:gridSpan w:val="2"/>
            <w:shd w:val="clear" w:color="auto" w:fill="76923C"/>
          </w:tcPr>
          <w:p w:rsidR="00F308FF" w:rsidRPr="002E4C92" w:rsidRDefault="00F308FF" w:rsidP="00B00346">
            <w:pPr>
              <w:pStyle w:val="TableHeaders"/>
            </w:pPr>
            <w:r>
              <w:t>Assessed Standard</w:t>
            </w:r>
            <w:r w:rsidR="00583FF7">
              <w:t>(s)</w:t>
            </w:r>
          </w:p>
        </w:tc>
      </w:tr>
      <w:tr w:rsidR="00FB2878" w:rsidRPr="0053542D">
        <w:tc>
          <w:tcPr>
            <w:tcW w:w="1344" w:type="dxa"/>
          </w:tcPr>
          <w:p w:rsidR="00FB2878" w:rsidRDefault="004F06BB" w:rsidP="000B2D56">
            <w:pPr>
              <w:pStyle w:val="TableText"/>
            </w:pPr>
            <w:r>
              <w:rPr>
                <w:rFonts w:asciiTheme="minorHAnsi" w:eastAsia="Times New Roman" w:hAnsiTheme="minorHAnsi"/>
              </w:rPr>
              <w:t>RI.9-10.8</w:t>
            </w:r>
          </w:p>
        </w:tc>
        <w:tc>
          <w:tcPr>
            <w:tcW w:w="8124" w:type="dxa"/>
          </w:tcPr>
          <w:p w:rsidR="00BC7CF2" w:rsidRDefault="00B93C3B" w:rsidP="004F06BB">
            <w:pPr>
              <w:pStyle w:val="TableText"/>
              <w:rPr>
                <w:rFonts w:eastAsia="Verdana" w:cs="Calibri"/>
                <w:b/>
                <w:color w:val="595959"/>
              </w:rPr>
            </w:pPr>
            <w:r>
              <w:t xml:space="preserve">Delineate and evaluate the argument and specific claims in a text, </w:t>
            </w:r>
            <w:r w:rsidR="004F06BB">
              <w:t xml:space="preserve">assessing whether the </w:t>
            </w:r>
            <w:r>
              <w:t>reasoning</w:t>
            </w:r>
            <w:r w:rsidR="004F06BB">
              <w:t xml:space="preserve"> is valid and the evidence is relevant and sufficient; identify false statements and fallacious reasoning.</w:t>
            </w:r>
            <w:r w:rsidR="00FA5AC3">
              <w:t xml:space="preserve"> </w:t>
            </w:r>
          </w:p>
        </w:tc>
      </w:tr>
      <w:tr w:rsidR="00F308FF" w:rsidRPr="00CF2582">
        <w:tc>
          <w:tcPr>
            <w:tcW w:w="9468" w:type="dxa"/>
            <w:gridSpan w:val="2"/>
            <w:shd w:val="clear" w:color="auto" w:fill="76923C"/>
          </w:tcPr>
          <w:p w:rsidR="00F308FF" w:rsidRPr="00CF2582" w:rsidRDefault="00F308FF" w:rsidP="00B00346">
            <w:pPr>
              <w:pStyle w:val="TableHeaders"/>
            </w:pPr>
            <w:r w:rsidRPr="00CF2582">
              <w:t>Addressed Standard</w:t>
            </w:r>
            <w:r w:rsidR="00583FF7">
              <w:t>(s)</w:t>
            </w:r>
          </w:p>
        </w:tc>
      </w:tr>
      <w:tr w:rsidR="00B32A7D" w:rsidRPr="0053542D">
        <w:tc>
          <w:tcPr>
            <w:tcW w:w="1344" w:type="dxa"/>
          </w:tcPr>
          <w:p w:rsidR="00B32A7D" w:rsidRPr="00D06F26" w:rsidRDefault="00B32A7D" w:rsidP="00FA5AC3">
            <w:pPr>
              <w:pStyle w:val="Normal1"/>
              <w:rPr>
                <w:rFonts w:ascii="Calibri" w:eastAsia="Times New Roman" w:hAnsi="Calibri" w:cs="Times New Roman"/>
                <w:color w:val="auto"/>
                <w:sz w:val="22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</w:rPr>
              <w:t>L.9-10.4.a</w:t>
            </w:r>
          </w:p>
        </w:tc>
        <w:tc>
          <w:tcPr>
            <w:tcW w:w="8124" w:type="dxa"/>
          </w:tcPr>
          <w:p w:rsidR="00B32A7D" w:rsidRDefault="00B32A7D" w:rsidP="00FA5AC3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Determine or clarify the meaning of unknown and multiple-meaning words and phrases based on </w:t>
            </w:r>
            <w:r>
              <w:rPr>
                <w:i/>
                <w:shd w:val="clear" w:color="auto" w:fill="FFFFFF"/>
              </w:rPr>
              <w:t>grades 9–10 reading and content</w:t>
            </w:r>
            <w:r>
              <w:rPr>
                <w:shd w:val="clear" w:color="auto" w:fill="FFFFFF"/>
              </w:rPr>
              <w:t xml:space="preserve">, choosing flexibly from a range of strategies. </w:t>
            </w:r>
          </w:p>
          <w:p w:rsidR="00B32A7D" w:rsidRPr="00F61F31" w:rsidRDefault="00B32A7D" w:rsidP="00FA5AC3">
            <w:pPr>
              <w:pStyle w:val="SubStandard"/>
              <w:numPr>
                <w:ilvl w:val="0"/>
                <w:numId w:val="38"/>
              </w:numPr>
            </w:pPr>
            <w:r w:rsidRPr="00F61F31">
              <w:t>Use context (e.g.</w:t>
            </w:r>
            <w:r w:rsidR="00822646">
              <w:t>,</w:t>
            </w:r>
            <w:r w:rsidRPr="00F61F31">
              <w:t xml:space="preserve"> the overall meaning of a sentence, paragraph or text; a word’s position or function in a sentence) as a clue to the meaning of a word or phrase. </w:t>
            </w:r>
          </w:p>
        </w:tc>
      </w:tr>
    </w:tbl>
    <w:p w:rsidR="00C4787C" w:rsidRDefault="00C4787C" w:rsidP="00E946A0">
      <w:pPr>
        <w:pStyle w:val="Heading1"/>
      </w:pPr>
      <w:r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263AF5" w:rsidRPr="002E4C92">
        <w:tc>
          <w:tcPr>
            <w:tcW w:w="9478" w:type="dxa"/>
            <w:shd w:val="clear" w:color="auto" w:fill="76923C"/>
          </w:tcPr>
          <w:p w:rsidR="00D920A6" w:rsidRPr="002E4C92" w:rsidRDefault="00D920A6" w:rsidP="00B00346">
            <w:pPr>
              <w:pStyle w:val="TableHeaders"/>
            </w:pPr>
            <w:r w:rsidRPr="002E4C92">
              <w:t>Assessment(s)</w:t>
            </w:r>
          </w:p>
        </w:tc>
      </w:tr>
      <w:tr w:rsidR="00B231AA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A" w:rsidRPr="003908D2" w:rsidRDefault="00737E01" w:rsidP="00553562">
            <w:pPr>
              <w:pStyle w:val="TableText"/>
            </w:pPr>
            <w:r w:rsidRPr="006D5695">
              <w:t xml:space="preserve">Student learning </w:t>
            </w:r>
            <w:r>
              <w:t xml:space="preserve">is assessed </w:t>
            </w:r>
            <w:r w:rsidR="00553562">
              <w:t>via</w:t>
            </w:r>
            <w:r>
              <w:t xml:space="preserve"> their completion of the </w:t>
            </w:r>
            <w:r w:rsidR="00455096">
              <w:t>Evaluating Argument</w:t>
            </w:r>
            <w:r w:rsidR="00E063AC">
              <w:t xml:space="preserve"> and Evidence Tool</w:t>
            </w:r>
            <w:r>
              <w:t xml:space="preserve"> </w:t>
            </w:r>
            <w:r w:rsidRPr="006D5695">
              <w:t xml:space="preserve">at the end of the lesson. </w:t>
            </w:r>
          </w:p>
        </w:tc>
      </w:tr>
      <w:tr w:rsidR="00263AF5" w:rsidRPr="00B00346">
        <w:tc>
          <w:tcPr>
            <w:tcW w:w="9478" w:type="dxa"/>
            <w:shd w:val="clear" w:color="auto" w:fill="76923C"/>
          </w:tcPr>
          <w:p w:rsidR="00D920A6" w:rsidRPr="00B00346" w:rsidRDefault="00D920A6" w:rsidP="00B00346">
            <w:pPr>
              <w:pStyle w:val="TableHeaders"/>
            </w:pPr>
            <w:r w:rsidRPr="00B00346">
              <w:t>High Performance Response(s)</w:t>
            </w:r>
          </w:p>
        </w:tc>
      </w:tr>
      <w:tr w:rsidR="00D920A6">
        <w:tc>
          <w:tcPr>
            <w:tcW w:w="9478" w:type="dxa"/>
          </w:tcPr>
          <w:p w:rsidR="00D920A6" w:rsidRPr="003908D2" w:rsidRDefault="009153A2" w:rsidP="00553562">
            <w:pPr>
              <w:pStyle w:val="BulletedList"/>
            </w:pPr>
            <w:r>
              <w:t>See the Model Evaluating Argument and Evidence Tool for</w:t>
            </w:r>
            <w:r w:rsidR="000E4E1E">
              <w:t xml:space="preserve"> H</w:t>
            </w:r>
            <w:r w:rsidR="00BE4EBD">
              <w:t xml:space="preserve">igh </w:t>
            </w:r>
            <w:r w:rsidR="000E4E1E">
              <w:t>P</w:t>
            </w:r>
            <w:r w:rsidR="00BE4EBD">
              <w:t xml:space="preserve">erformance </w:t>
            </w:r>
            <w:r w:rsidR="004C457A">
              <w:t>R</w:t>
            </w:r>
            <w:r w:rsidR="00850CE6">
              <w:t>esponse</w:t>
            </w:r>
            <w:r>
              <w:t>s.</w:t>
            </w:r>
          </w:p>
        </w:tc>
      </w:tr>
    </w:tbl>
    <w:p w:rsidR="00C4787C" w:rsidRDefault="00C4787C" w:rsidP="00E946A0">
      <w:pPr>
        <w:pStyle w:val="Heading1"/>
      </w:pPr>
      <w:r>
        <w:lastRenderedPageBreak/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C02EC2" w:rsidRPr="00B00346">
        <w:tc>
          <w:tcPr>
            <w:tcW w:w="9450" w:type="dxa"/>
            <w:shd w:val="clear" w:color="auto" w:fill="76923C"/>
          </w:tcPr>
          <w:p w:rsidR="00D920A6" w:rsidRPr="00B00346" w:rsidRDefault="00F308FF" w:rsidP="00B00346">
            <w:pPr>
              <w:pStyle w:val="TableHeaders"/>
            </w:pPr>
            <w:r w:rsidRPr="00B00346">
              <w:t>Vocabulary to provide directly (will not include extended instruction)</w:t>
            </w:r>
          </w:p>
        </w:tc>
      </w:tr>
      <w:tr w:rsidR="00D920A6">
        <w:tc>
          <w:tcPr>
            <w:tcW w:w="9450" w:type="dxa"/>
          </w:tcPr>
          <w:p w:rsidR="00C57EE3" w:rsidRPr="00C57EE3" w:rsidRDefault="00C57EE3" w:rsidP="003F1228">
            <w:pPr>
              <w:pStyle w:val="BulletedList"/>
              <w:rPr>
                <w:rFonts w:asciiTheme="minorHAnsi" w:hAnsiTheme="minorHAnsi"/>
              </w:rPr>
            </w:pPr>
            <w:r w:rsidRPr="00C57EE3">
              <w:t>production</w:t>
            </w:r>
            <w:r w:rsidRPr="009C2CFC">
              <w:rPr>
                <w:i/>
              </w:rPr>
              <w:t xml:space="preserve"> </w:t>
            </w:r>
            <w:r w:rsidRPr="00C57EE3">
              <w:t>costs</w:t>
            </w:r>
            <w:r w:rsidRPr="00DD672E">
              <w:t xml:space="preserve"> </w:t>
            </w:r>
            <w:r>
              <w:t>(n.) – money</w:t>
            </w:r>
            <w:r w:rsidRPr="00DD672E">
              <w:t xml:space="preserve"> a compa</w:t>
            </w:r>
            <w:r>
              <w:t>ny has to pay to make something</w:t>
            </w:r>
          </w:p>
          <w:p w:rsidR="003F1228" w:rsidRPr="00A45E9D" w:rsidRDefault="003F1228" w:rsidP="003F1228">
            <w:pPr>
              <w:pStyle w:val="BulletedList"/>
              <w:rPr>
                <w:rFonts w:asciiTheme="minorHAnsi" w:hAnsiTheme="minorHAnsi"/>
              </w:rPr>
            </w:pPr>
            <w:r w:rsidRPr="00A45E9D">
              <w:rPr>
                <w:rFonts w:asciiTheme="minorHAnsi" w:eastAsia="Times New Roman" w:hAnsiTheme="minorHAnsi"/>
              </w:rPr>
              <w:t>capital-intensive (adj.)</w:t>
            </w:r>
            <w:r w:rsidR="009153A2">
              <w:rPr>
                <w:rFonts w:asciiTheme="minorHAnsi" w:eastAsia="Times New Roman" w:hAnsiTheme="minorHAnsi"/>
              </w:rPr>
              <w:t xml:space="preserve"> </w:t>
            </w:r>
            <w:r w:rsidRPr="00A45E9D">
              <w:rPr>
                <w:rFonts w:asciiTheme="minorHAnsi" w:eastAsia="Times New Roman" w:hAnsiTheme="minorHAnsi"/>
              </w:rPr>
              <w:t>– referring to a business or industry that requires a lot of capital or goods such as building, equipment</w:t>
            </w:r>
            <w:r w:rsidR="009E1FEF">
              <w:rPr>
                <w:rFonts w:asciiTheme="minorHAnsi" w:eastAsia="Times New Roman" w:hAnsiTheme="minorHAnsi"/>
              </w:rPr>
              <w:t>,</w:t>
            </w:r>
            <w:r w:rsidRPr="00A45E9D">
              <w:rPr>
                <w:rFonts w:asciiTheme="minorHAnsi" w:eastAsia="Times New Roman" w:hAnsiTheme="minorHAnsi"/>
              </w:rPr>
              <w:t xml:space="preserve"> an</w:t>
            </w:r>
            <w:r w:rsidR="009E1FEF">
              <w:rPr>
                <w:rFonts w:asciiTheme="minorHAnsi" w:eastAsia="Times New Roman" w:hAnsiTheme="minorHAnsi"/>
              </w:rPr>
              <w:t>d machinery as opposed to labor</w:t>
            </w:r>
            <w:r w:rsidRPr="00A45E9D">
              <w:rPr>
                <w:rFonts w:asciiTheme="minorHAnsi" w:eastAsia="Times New Roman" w:hAnsiTheme="minorHAnsi"/>
              </w:rPr>
              <w:t xml:space="preserve"> or workers</w:t>
            </w:r>
          </w:p>
          <w:p w:rsidR="003F1228" w:rsidRPr="00A45E9D" w:rsidRDefault="000523FE" w:rsidP="003F1228">
            <w:pPr>
              <w:pStyle w:val="BulletedList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</w:rPr>
              <w:t>labor-intensive (adj.) – refe</w:t>
            </w:r>
            <w:r w:rsidR="00317257">
              <w:rPr>
                <w:rFonts w:asciiTheme="minorHAnsi" w:eastAsia="Times New Roman" w:hAnsiTheme="minorHAnsi"/>
              </w:rPr>
              <w:t>r</w:t>
            </w:r>
            <w:r>
              <w:rPr>
                <w:rFonts w:asciiTheme="minorHAnsi" w:eastAsia="Times New Roman" w:hAnsiTheme="minorHAnsi"/>
              </w:rPr>
              <w:t>ring</w:t>
            </w:r>
            <w:r w:rsidR="003F1228" w:rsidRPr="00A45E9D">
              <w:rPr>
                <w:rFonts w:asciiTheme="minorHAnsi" w:eastAsia="Times New Roman" w:hAnsiTheme="minorHAnsi"/>
              </w:rPr>
              <w:t xml:space="preserve"> to a business or industry that requires a lot of workers or labor as opposed to capital</w:t>
            </w:r>
            <w:r w:rsidR="009E1FEF">
              <w:rPr>
                <w:rFonts w:asciiTheme="minorHAnsi" w:eastAsia="Times New Roman" w:hAnsiTheme="minorHAnsi"/>
              </w:rPr>
              <w:t xml:space="preserve"> such as equipment or machinery</w:t>
            </w:r>
            <w:r w:rsidR="003F1228" w:rsidRPr="00A45E9D">
              <w:rPr>
                <w:rFonts w:asciiTheme="minorHAnsi" w:eastAsia="Times New Roman" w:hAnsiTheme="minorHAnsi"/>
              </w:rPr>
              <w:t xml:space="preserve"> </w:t>
            </w:r>
          </w:p>
          <w:p w:rsidR="000B2D56" w:rsidRPr="00A45E9D" w:rsidRDefault="00C82D15" w:rsidP="00A45E9D">
            <w:pPr>
              <w:pStyle w:val="BulletedList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</w:rPr>
              <w:t>l</w:t>
            </w:r>
            <w:r w:rsidR="00B93C3B" w:rsidRPr="00A45E9D">
              <w:rPr>
                <w:rFonts w:asciiTheme="minorHAnsi" w:eastAsia="Times New Roman" w:hAnsiTheme="minorHAnsi"/>
              </w:rPr>
              <w:t xml:space="preserve">iving wages (n.) – </w:t>
            </w:r>
            <w:r w:rsidR="00B93C3B" w:rsidRPr="00A45E9D">
              <w:rPr>
                <w:rStyle w:val="hwc"/>
                <w:rFonts w:asciiTheme="minorHAnsi" w:hAnsiTheme="minorHAnsi"/>
              </w:rPr>
              <w:t>a</w:t>
            </w:r>
            <w:r w:rsidR="00B93C3B" w:rsidRPr="00A45E9D">
              <w:rPr>
                <w:rFonts w:asciiTheme="minorHAnsi" w:hAnsiTheme="minorHAnsi"/>
              </w:rPr>
              <w:t xml:space="preserve">n income </w:t>
            </w:r>
            <w:r w:rsidR="00B93C3B" w:rsidRPr="00A45E9D">
              <w:rPr>
                <w:rStyle w:val="hwc"/>
                <w:rFonts w:asciiTheme="minorHAnsi" w:hAnsiTheme="minorHAnsi"/>
              </w:rPr>
              <w:t>adequate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to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permit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a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worker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to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live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and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support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a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family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in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reasonable</w:t>
            </w:r>
            <w:r w:rsidR="00B93C3B" w:rsidRPr="00A45E9D">
              <w:rPr>
                <w:rFonts w:asciiTheme="minorHAnsi" w:hAnsiTheme="minorHAnsi"/>
              </w:rPr>
              <w:t xml:space="preserve"> </w:t>
            </w:r>
            <w:r w:rsidR="00B93C3B" w:rsidRPr="00A45E9D">
              <w:rPr>
                <w:rStyle w:val="hwc"/>
                <w:rFonts w:asciiTheme="minorHAnsi" w:hAnsiTheme="minorHAnsi"/>
              </w:rPr>
              <w:t>comfort</w:t>
            </w:r>
          </w:p>
        </w:tc>
      </w:tr>
      <w:tr w:rsidR="00263AF5" w:rsidRPr="00F308FF">
        <w:tc>
          <w:tcPr>
            <w:tcW w:w="9450" w:type="dxa"/>
            <w:shd w:val="clear" w:color="auto" w:fill="76923C"/>
          </w:tcPr>
          <w:p w:rsidR="00D920A6" w:rsidRPr="002E4C92" w:rsidRDefault="00BA46CB" w:rsidP="00B00346">
            <w:pPr>
              <w:pStyle w:val="TableHeaders"/>
            </w:pPr>
            <w:r w:rsidRPr="00BA46CB">
              <w:t>Vocabulary to teach (may include direct word work and/or questions)</w:t>
            </w:r>
          </w:p>
        </w:tc>
      </w:tr>
      <w:tr w:rsidR="00B231AA">
        <w:tc>
          <w:tcPr>
            <w:tcW w:w="9450" w:type="dxa"/>
          </w:tcPr>
          <w:p w:rsidR="00B231AA" w:rsidRPr="00B231AA" w:rsidRDefault="00676F71" w:rsidP="009E1FEF">
            <w:pPr>
              <w:pStyle w:val="BulletedList"/>
            </w:pPr>
            <w:r>
              <w:t xml:space="preserve">pare (v.) </w:t>
            </w:r>
            <w:r w:rsidR="009E1FEF">
              <w:t>–</w:t>
            </w:r>
            <w:r>
              <w:t xml:space="preserve"> </w:t>
            </w:r>
            <w:r w:rsidR="00457F5C">
              <w:rPr>
                <w:rStyle w:val="hwc"/>
              </w:rPr>
              <w:t>to</w:t>
            </w:r>
            <w:r w:rsidR="00457F5C">
              <w:t xml:space="preserve"> </w:t>
            </w:r>
            <w:r w:rsidR="00457F5C">
              <w:rPr>
                <w:rStyle w:val="hwc"/>
              </w:rPr>
              <w:t>reduce</w:t>
            </w:r>
            <w:r w:rsidR="00457F5C">
              <w:t xml:space="preserve"> </w:t>
            </w:r>
            <w:r w:rsidR="00457F5C">
              <w:rPr>
                <w:rStyle w:val="hwc"/>
              </w:rPr>
              <w:t>or</w:t>
            </w:r>
            <w:r w:rsidR="00457F5C">
              <w:t xml:space="preserve"> </w:t>
            </w:r>
            <w:r w:rsidR="00457F5C">
              <w:rPr>
                <w:rStyle w:val="hwc"/>
              </w:rPr>
              <w:t>remove</w:t>
            </w:r>
            <w:r w:rsidR="00457F5C">
              <w:t xml:space="preserve"> </w:t>
            </w:r>
            <w:r w:rsidR="00457F5C">
              <w:rPr>
                <w:rStyle w:val="hwc"/>
              </w:rPr>
              <w:t>by</w:t>
            </w:r>
            <w:r w:rsidR="00457F5C">
              <w:t xml:space="preserve"> </w:t>
            </w:r>
            <w:r w:rsidR="00457F5C">
              <w:rPr>
                <w:rStyle w:val="hwc"/>
              </w:rPr>
              <w:t>cutting</w:t>
            </w:r>
          </w:p>
        </w:tc>
      </w:tr>
    </w:tbl>
    <w:p w:rsidR="00C4787C" w:rsidRDefault="00C4787C" w:rsidP="00E946A0">
      <w:pPr>
        <w:pStyle w:val="Heading1"/>
      </w:pPr>
      <w:r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0"/>
        <w:gridCol w:w="1638"/>
      </w:tblGrid>
      <w:tr w:rsidR="00263AF5" w:rsidRPr="00C02EC2">
        <w:tc>
          <w:tcPr>
            <w:tcW w:w="7830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 xml:space="preserve">Student-Facing </w:t>
            </w:r>
            <w:r w:rsidRPr="00B00346">
              <w:t>Agenda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>% of Lesson</w:t>
            </w:r>
          </w:p>
        </w:tc>
      </w:tr>
      <w:tr w:rsidR="00730123">
        <w:trPr>
          <w:trHeight w:val="1313"/>
        </w:trPr>
        <w:tc>
          <w:tcPr>
            <w:tcW w:w="7830" w:type="dxa"/>
            <w:tcBorders>
              <w:bottom w:val="nil"/>
            </w:tcBorders>
          </w:tcPr>
          <w:p w:rsidR="005F5D35" w:rsidRPr="000B2D56" w:rsidRDefault="005F5D35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:rsidR="008151E5" w:rsidRDefault="00BE4EBD" w:rsidP="008151E5">
            <w:pPr>
              <w:pStyle w:val="BulletedList"/>
            </w:pPr>
            <w:r>
              <w:t xml:space="preserve">Standards: </w:t>
            </w:r>
            <w:r w:rsidR="00B93C3B">
              <w:t>R</w:t>
            </w:r>
            <w:r w:rsidR="00F55939">
              <w:t>I</w:t>
            </w:r>
            <w:r w:rsidR="003F1228">
              <w:t>.</w:t>
            </w:r>
            <w:r w:rsidR="00F55939">
              <w:t>9-10.</w:t>
            </w:r>
            <w:r w:rsidR="009E1FEF">
              <w:t xml:space="preserve">8, </w:t>
            </w:r>
            <w:r w:rsidR="00B32A7D">
              <w:t>L9-10.4.a</w:t>
            </w:r>
          </w:p>
          <w:p w:rsidR="00730123" w:rsidRDefault="004B7C07" w:rsidP="004B7C07">
            <w:pPr>
              <w:pStyle w:val="BulletedList"/>
            </w:pPr>
            <w:r>
              <w:t xml:space="preserve">Text: </w:t>
            </w:r>
            <w:r w:rsidR="003F1228">
              <w:t>“Where Sweatshops Are a Dream”</w:t>
            </w:r>
            <w:r w:rsidR="00B93C3B">
              <w:t xml:space="preserve"> by Nicholas</w:t>
            </w:r>
            <w:r w:rsidR="00F03714">
              <w:t xml:space="preserve"> Kristof</w:t>
            </w:r>
            <w:r w:rsidR="00327AFA">
              <w:t xml:space="preserve"> </w:t>
            </w:r>
            <w:r w:rsidR="00327AFA" w:rsidRPr="00D630CA">
              <w:t>(</w:t>
            </w:r>
            <w:hyperlink r:id="rId8" w:history="1">
              <w:r w:rsidR="00256B8B" w:rsidRPr="00B26205">
                <w:rPr>
                  <w:rStyle w:val="Hyperlink"/>
                </w:rPr>
                <w:t>http://www.nytimes.com/2009/01/15/opinion/15kristof.html?_r</w:t>
              </w:r>
            </w:hyperlink>
            <w:r w:rsidR="00327AFA" w:rsidRPr="00D630CA">
              <w:t>=)</w:t>
            </w:r>
            <w:r w:rsidR="00256B8B">
              <w:t xml:space="preserve"> </w:t>
            </w:r>
          </w:p>
        </w:tc>
        <w:tc>
          <w:tcPr>
            <w:tcW w:w="1638" w:type="dxa"/>
            <w:tcBorders>
              <w:bottom w:val="nil"/>
            </w:tcBorders>
          </w:tcPr>
          <w:p w:rsidR="00C07D88" w:rsidRPr="00C02EC2" w:rsidRDefault="00C07D88" w:rsidP="00E946A0"/>
          <w:p w:rsidR="00AF5A63" w:rsidRDefault="00AF5A63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546D71">
        <w:tc>
          <w:tcPr>
            <w:tcW w:w="7830" w:type="dxa"/>
            <w:tcBorders>
              <w:top w:val="nil"/>
            </w:tcBorders>
          </w:tcPr>
          <w:p w:rsidR="00546D71" w:rsidRPr="000B2D56" w:rsidRDefault="00546D71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Learning Sequence:</w:t>
            </w:r>
          </w:p>
          <w:p w:rsidR="00546D71" w:rsidRPr="00676F71" w:rsidRDefault="00546D71" w:rsidP="00676F71">
            <w:pPr>
              <w:pStyle w:val="NumberedList"/>
            </w:pPr>
            <w:r w:rsidRPr="00676F71">
              <w:t>Introduction of Lesson Agenda</w:t>
            </w:r>
          </w:p>
          <w:p w:rsidR="00546D71" w:rsidRPr="00676F71" w:rsidRDefault="00546D71" w:rsidP="00676F71">
            <w:pPr>
              <w:pStyle w:val="NumberedList"/>
            </w:pPr>
            <w:r w:rsidRPr="00676F71">
              <w:t>Homework Accountability</w:t>
            </w:r>
          </w:p>
          <w:p w:rsidR="00546D71" w:rsidRPr="00676F71" w:rsidRDefault="00465C6D" w:rsidP="00676F71">
            <w:pPr>
              <w:pStyle w:val="NumberedList"/>
            </w:pPr>
            <w:r w:rsidRPr="00676F71">
              <w:t xml:space="preserve">Modeling </w:t>
            </w:r>
            <w:r w:rsidR="00553562">
              <w:t>the</w:t>
            </w:r>
            <w:r w:rsidRPr="00676F71">
              <w:t xml:space="preserve"> </w:t>
            </w:r>
            <w:r w:rsidR="00553562">
              <w:t xml:space="preserve">Evaluating </w:t>
            </w:r>
            <w:r w:rsidRPr="00676F71">
              <w:t>Argument and Evidence Tool</w:t>
            </w:r>
          </w:p>
          <w:p w:rsidR="00546D71" w:rsidRPr="00676F71" w:rsidRDefault="00BD098C" w:rsidP="00676F71">
            <w:pPr>
              <w:pStyle w:val="NumberedList"/>
            </w:pPr>
            <w:r>
              <w:t>Reading and Discussion</w:t>
            </w:r>
          </w:p>
          <w:p w:rsidR="00546D71" w:rsidRPr="00676F71" w:rsidRDefault="00BD098C" w:rsidP="00676F71">
            <w:pPr>
              <w:pStyle w:val="NumberedList"/>
            </w:pPr>
            <w:r>
              <w:t>Evaluating Argument and Evidence Tool Group Work and Assessment</w:t>
            </w:r>
          </w:p>
          <w:p w:rsidR="00265DEE" w:rsidRPr="00546D71" w:rsidRDefault="00F51710" w:rsidP="00676F71">
            <w:pPr>
              <w:pStyle w:val="NumberedList"/>
            </w:pPr>
            <w:r w:rsidRPr="00676F71"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:rsidR="00546D71" w:rsidRDefault="00546D71" w:rsidP="000B2D56">
            <w:pPr>
              <w:pStyle w:val="TableText"/>
            </w:pPr>
          </w:p>
          <w:p w:rsidR="00546D71" w:rsidRDefault="00546D71" w:rsidP="00546D71">
            <w:pPr>
              <w:pStyle w:val="NumberedList"/>
              <w:numPr>
                <w:ilvl w:val="0"/>
                <w:numId w:val="34"/>
              </w:numPr>
            </w:pPr>
            <w:r>
              <w:t>5%</w:t>
            </w:r>
          </w:p>
          <w:p w:rsidR="00546D71" w:rsidRDefault="00A70EF1" w:rsidP="00546D71">
            <w:pPr>
              <w:pStyle w:val="NumberedList"/>
            </w:pPr>
            <w:r>
              <w:t>15</w:t>
            </w:r>
            <w:r w:rsidR="00546D71">
              <w:t>%</w:t>
            </w:r>
          </w:p>
          <w:p w:rsidR="00546D71" w:rsidRDefault="00465C6D" w:rsidP="00546D71">
            <w:pPr>
              <w:pStyle w:val="NumberedList"/>
            </w:pPr>
            <w:r>
              <w:t>25</w:t>
            </w:r>
            <w:r w:rsidR="00546D71">
              <w:t>%</w:t>
            </w:r>
          </w:p>
          <w:p w:rsidR="00546D71" w:rsidRDefault="00A70EF1" w:rsidP="00546D71">
            <w:pPr>
              <w:pStyle w:val="NumberedList"/>
            </w:pPr>
            <w:r>
              <w:t>35</w:t>
            </w:r>
            <w:r w:rsidR="00546D71">
              <w:t>%</w:t>
            </w:r>
          </w:p>
          <w:p w:rsidR="00546D71" w:rsidRDefault="00F51710" w:rsidP="00546D71">
            <w:pPr>
              <w:pStyle w:val="NumberedList"/>
            </w:pPr>
            <w:r>
              <w:t>15%</w:t>
            </w:r>
          </w:p>
          <w:p w:rsidR="00546D71" w:rsidRPr="00C02EC2" w:rsidRDefault="00265DEE" w:rsidP="00265DEE">
            <w:pPr>
              <w:pStyle w:val="NumberedList"/>
            </w:pPr>
            <w:r>
              <w:t>5%</w:t>
            </w:r>
          </w:p>
        </w:tc>
      </w:tr>
    </w:tbl>
    <w:p w:rsidR="003368BF" w:rsidRDefault="00F308FF" w:rsidP="00E946A0">
      <w:pPr>
        <w:pStyle w:val="Heading1"/>
      </w:pPr>
      <w:r>
        <w:t>Materials</w:t>
      </w:r>
    </w:p>
    <w:p w:rsidR="006E7D3C" w:rsidRDefault="005C223D" w:rsidP="00064850">
      <w:pPr>
        <w:pStyle w:val="BulletedList"/>
      </w:pPr>
      <w:r>
        <w:t>Student c</w:t>
      </w:r>
      <w:r w:rsidR="009E1FEF">
        <w:t xml:space="preserve">opies of the </w:t>
      </w:r>
      <w:r w:rsidR="00E063AC">
        <w:t>Evaluating Argument and Evidence Tool</w:t>
      </w:r>
      <w:r w:rsidR="009E1FEF">
        <w:t xml:space="preserve"> </w:t>
      </w:r>
      <w:r>
        <w:t>(refer to 9.4.1 Lesson 10)</w:t>
      </w:r>
    </w:p>
    <w:p w:rsidR="00C4787C" w:rsidRPr="00A24DAB" w:rsidRDefault="00C4787C" w:rsidP="00E946A0">
      <w:pPr>
        <w:pStyle w:val="Heading1"/>
      </w:pPr>
      <w:r w:rsidRPr="00A24DAB">
        <w:lastRenderedPageBreak/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4"/>
        <w:gridCol w:w="8574"/>
      </w:tblGrid>
      <w:tr w:rsidR="00546D71" w:rsidRPr="001C6EA7">
        <w:tc>
          <w:tcPr>
            <w:tcW w:w="9468" w:type="dxa"/>
            <w:gridSpan w:val="2"/>
            <w:shd w:val="clear" w:color="auto" w:fill="76923C" w:themeFill="accent3" w:themeFillShade="BF"/>
          </w:tcPr>
          <w:p w:rsidR="00546D71" w:rsidRPr="001C6EA7" w:rsidRDefault="00546D71" w:rsidP="00B00346">
            <w:pPr>
              <w:pStyle w:val="TableHeaders"/>
            </w:pPr>
            <w:r w:rsidRPr="001C6EA7">
              <w:t>How to Use the Learning Sequence</w:t>
            </w:r>
          </w:p>
        </w:tc>
      </w:tr>
      <w:tr w:rsidR="00546D71" w:rsidRPr="000D6FA4">
        <w:tc>
          <w:tcPr>
            <w:tcW w:w="894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546D71" w:rsidRPr="00E65C14">
        <w:tc>
          <w:tcPr>
            <w:tcW w:w="894" w:type="dxa"/>
          </w:tcPr>
          <w:p w:rsidR="00546D71" w:rsidRPr="00E65C14" w:rsidRDefault="00546D71" w:rsidP="00627A46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574" w:type="dxa"/>
          </w:tcPr>
          <w:p w:rsidR="00546D71" w:rsidRPr="00E65C14" w:rsidRDefault="00546D71" w:rsidP="00627A46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A948B3" w:rsidRPr="000D6FA4">
        <w:tc>
          <w:tcPr>
            <w:tcW w:w="894" w:type="dxa"/>
            <w:vMerge w:val="restart"/>
            <w:vAlign w:val="center"/>
          </w:tcPr>
          <w:p w:rsidR="00A948B3" w:rsidRPr="00A948B3" w:rsidRDefault="0097223B" w:rsidP="00A948B3">
            <w:pPr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="00A948B3" w:rsidRPr="00A948B3">
              <w:rPr>
                <w:sz w:val="18"/>
              </w:rPr>
              <w:t>o symbol</w:t>
            </w:r>
          </w:p>
        </w:tc>
        <w:tc>
          <w:tcPr>
            <w:tcW w:w="8574" w:type="dxa"/>
          </w:tcPr>
          <w:p w:rsidR="00A948B3" w:rsidRPr="000D6FA4" w:rsidRDefault="00A948B3" w:rsidP="00627A46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 xml:space="preserve">Plain text </w:t>
            </w:r>
            <w:r w:rsidRPr="000D6FA4">
              <w:rPr>
                <w:sz w:val="20"/>
              </w:rPr>
              <w:t>indicates teacher action.</w:t>
            </w:r>
          </w:p>
        </w:tc>
      </w:tr>
      <w:tr w:rsidR="00A948B3" w:rsidRPr="000D6FA4">
        <w:tc>
          <w:tcPr>
            <w:tcW w:w="894" w:type="dxa"/>
            <w:vMerge/>
          </w:tcPr>
          <w:p w:rsidR="00A948B3" w:rsidRPr="000D6FA4" w:rsidRDefault="00A948B3" w:rsidP="00627A46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A948B3" w:rsidRPr="000D6FA4" w:rsidRDefault="00BA46CB" w:rsidP="00A948B3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BA46CB">
              <w:rPr>
                <w:b/>
                <w:sz w:val="20"/>
              </w:rPr>
              <w:t>Bold text indicates questions for the teacher to ask students.</w:t>
            </w:r>
          </w:p>
        </w:tc>
      </w:tr>
      <w:tr w:rsidR="00A948B3" w:rsidRPr="000D6FA4">
        <w:tc>
          <w:tcPr>
            <w:tcW w:w="894" w:type="dxa"/>
            <w:vMerge/>
          </w:tcPr>
          <w:p w:rsidR="00A948B3" w:rsidRPr="000D6FA4" w:rsidRDefault="00A948B3" w:rsidP="00627A46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A948B3" w:rsidRPr="001E189E" w:rsidRDefault="00A948B3" w:rsidP="00A948B3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indicates a vocabulary word.</w:t>
            </w:r>
          </w:p>
        </w:tc>
      </w:tr>
      <w:tr w:rsidR="00546D71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:rsidR="00546D71" w:rsidRDefault="00546D71" w:rsidP="002A5337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574" w:type="dxa"/>
          </w:tcPr>
          <w:p w:rsidR="00546D71" w:rsidRPr="000C0112" w:rsidRDefault="00546D71" w:rsidP="00627A46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546D71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:rsidR="00546D71" w:rsidRDefault="00546D71" w:rsidP="002A5337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574" w:type="dxa"/>
          </w:tcPr>
          <w:p w:rsidR="00546D71" w:rsidRPr="000C0112" w:rsidRDefault="00546D71" w:rsidP="00627A46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546D71" w:rsidRPr="000D6FA4">
        <w:tc>
          <w:tcPr>
            <w:tcW w:w="894" w:type="dxa"/>
            <w:vAlign w:val="bottom"/>
          </w:tcPr>
          <w:p w:rsidR="00546D71" w:rsidRPr="000D6FA4" w:rsidRDefault="00546D71" w:rsidP="002A5337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574" w:type="dxa"/>
          </w:tcPr>
          <w:p w:rsidR="00546D71" w:rsidRPr="000D6FA4" w:rsidRDefault="00546D71" w:rsidP="00627A46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:rsidR="00607856" w:rsidRPr="00A24DAB" w:rsidRDefault="00BB27BA" w:rsidP="00CE2836">
      <w:pPr>
        <w:pStyle w:val="LearningSequenceHeader"/>
      </w:pPr>
      <w:r w:rsidRPr="00A24DAB">
        <w:t>Activity 1</w:t>
      </w:r>
      <w:r w:rsidR="00607856" w:rsidRPr="00A24DAB">
        <w:t xml:space="preserve">: </w:t>
      </w:r>
      <w:r w:rsidRPr="00A24DAB">
        <w:t>Introduction of Lesson Agenda</w:t>
      </w:r>
      <w:r w:rsidR="00607856" w:rsidRPr="00A24DAB">
        <w:tab/>
      </w:r>
      <w:r w:rsidRPr="00A24DAB">
        <w:t>5</w:t>
      </w:r>
      <w:r w:rsidR="00607856" w:rsidRPr="00A24DAB">
        <w:t>%</w:t>
      </w:r>
    </w:p>
    <w:p w:rsidR="004F295D" w:rsidRDefault="00EE3626" w:rsidP="004F295D">
      <w:pPr>
        <w:pStyle w:val="TA"/>
        <w:spacing w:line="276" w:lineRule="auto"/>
      </w:pPr>
      <w:r>
        <w:t>Begin by reviewing the agenda and assessed standard for this lesson:</w:t>
      </w:r>
      <w:r w:rsidR="004D1B02">
        <w:t xml:space="preserve"> </w:t>
      </w:r>
      <w:r w:rsidR="00F51710">
        <w:t>R</w:t>
      </w:r>
      <w:r w:rsidR="00F55939">
        <w:t>I</w:t>
      </w:r>
      <w:r w:rsidR="00077266">
        <w:t>.</w:t>
      </w:r>
      <w:r w:rsidR="00F55939">
        <w:t>9-10.</w:t>
      </w:r>
      <w:r w:rsidR="00077266">
        <w:t>8</w:t>
      </w:r>
      <w:r>
        <w:t xml:space="preserve">. </w:t>
      </w:r>
      <w:r w:rsidR="005A798D">
        <w:t>In this lesson, students</w:t>
      </w:r>
      <w:r w:rsidR="004F295D">
        <w:t xml:space="preserve"> finish reading “Where Sweatshops Are a Dream” and complete a tool outlining </w:t>
      </w:r>
      <w:r w:rsidR="009D12D7">
        <w:t xml:space="preserve">and evaluating </w:t>
      </w:r>
      <w:r w:rsidR="004F295D">
        <w:t xml:space="preserve">the argument, claims, and supporting evidence in the text. </w:t>
      </w:r>
    </w:p>
    <w:p w:rsidR="00BB27BA" w:rsidRDefault="004F295D" w:rsidP="00E173B3">
      <w:pPr>
        <w:pStyle w:val="SA"/>
      </w:pPr>
      <w:r>
        <w:t>Students follow along.</w:t>
      </w:r>
    </w:p>
    <w:p w:rsidR="000B2D56" w:rsidRDefault="000B2D56" w:rsidP="00CE2836">
      <w:pPr>
        <w:pStyle w:val="LearningSequenceHeader"/>
      </w:pPr>
      <w:r>
        <w:t>Activity 2</w:t>
      </w:r>
      <w:r w:rsidRPr="000B2D56">
        <w:t xml:space="preserve">: </w:t>
      </w:r>
      <w:r>
        <w:t>Homework Accountability</w:t>
      </w:r>
      <w:r>
        <w:tab/>
      </w:r>
      <w:r w:rsidR="00A70EF1">
        <w:t>15</w:t>
      </w:r>
      <w:r w:rsidRPr="000B2D56">
        <w:t>%</w:t>
      </w:r>
    </w:p>
    <w:p w:rsidR="00444616" w:rsidRPr="00E912A2" w:rsidRDefault="00444616" w:rsidP="00444616">
      <w:pPr>
        <w:pStyle w:val="TA"/>
      </w:pPr>
      <w:r w:rsidRPr="00E912A2">
        <w:t xml:space="preserve">Instruct students to talk in pairs about how they </w:t>
      </w:r>
      <w:r>
        <w:t>applied</w:t>
      </w:r>
      <w:r w:rsidRPr="00E912A2">
        <w:t xml:space="preserve"> their focus standard to their text. Lead a brief share out on the previous lesson’s AIR homework assignment. Select several students (or student pairs) to explain how they applied their focus standard to their AIR text.</w:t>
      </w:r>
    </w:p>
    <w:p w:rsidR="00444616" w:rsidRDefault="00444616" w:rsidP="00444616">
      <w:pPr>
        <w:pStyle w:val="SA"/>
        <w:numPr>
          <w:ilvl w:val="0"/>
          <w:numId w:val="33"/>
        </w:numPr>
      </w:pPr>
      <w:r w:rsidRPr="00E912A2">
        <w:t>Students (or student pairs) discuss and share how they applied their focus standard to their AIR text from the previous lesson’s homework.</w:t>
      </w:r>
    </w:p>
    <w:p w:rsidR="00444616" w:rsidRDefault="00444616" w:rsidP="00E00783">
      <w:pPr>
        <w:pStyle w:val="BR"/>
      </w:pPr>
    </w:p>
    <w:p w:rsidR="00C82D15" w:rsidRDefault="00191CC9" w:rsidP="00286A36">
      <w:pPr>
        <w:pStyle w:val="SA"/>
        <w:numPr>
          <w:ilvl w:val="0"/>
          <w:numId w:val="0"/>
        </w:numPr>
      </w:pPr>
      <w:r>
        <w:t xml:space="preserve">Ask students </w:t>
      </w:r>
      <w:r w:rsidR="00F51710">
        <w:t xml:space="preserve">to </w:t>
      </w:r>
      <w:r w:rsidR="00962E0C">
        <w:t xml:space="preserve">form pairs </w:t>
      </w:r>
      <w:r>
        <w:t xml:space="preserve">to discuss the previous lesson’s homework: </w:t>
      </w:r>
    </w:p>
    <w:p w:rsidR="00DD11CD" w:rsidRDefault="003A5C37" w:rsidP="00C82D15">
      <w:pPr>
        <w:pStyle w:val="Q"/>
      </w:pPr>
      <w:r>
        <w:t>Identify the</w:t>
      </w:r>
      <w:r w:rsidR="00191CC9" w:rsidRPr="0097404F">
        <w:t xml:space="preserve"> </w:t>
      </w:r>
      <w:r w:rsidR="009F3F60">
        <w:t xml:space="preserve">central </w:t>
      </w:r>
      <w:r w:rsidR="00191CC9" w:rsidRPr="0097404F">
        <w:t>claim and counterclaim of “Where Sweatshops Are a Dream.”</w:t>
      </w:r>
      <w:r w:rsidR="00191CC9">
        <w:t xml:space="preserve"> </w:t>
      </w:r>
      <w:r w:rsidR="00191CC9" w:rsidRPr="0097404F">
        <w:t>Provide evidence from the text to support your selections.</w:t>
      </w:r>
    </w:p>
    <w:p w:rsidR="00DA26B8" w:rsidRDefault="00DA26B8" w:rsidP="003A5C37">
      <w:pPr>
        <w:pStyle w:val="SR"/>
      </w:pPr>
      <w:r>
        <w:t xml:space="preserve">Student responses may include: </w:t>
      </w:r>
    </w:p>
    <w:p w:rsidR="00BC7CF2" w:rsidRDefault="003A5C37" w:rsidP="001C5C72">
      <w:pPr>
        <w:pStyle w:val="SASRBullet"/>
      </w:pPr>
      <w:r>
        <w:t>The author’s central claim is that sweatshops often provide a better alternative to what is available to workers in poor countries and can be a route out of poverty.</w:t>
      </w:r>
    </w:p>
    <w:p w:rsidR="00DA26B8" w:rsidRDefault="00DA26B8" w:rsidP="00DA26B8">
      <w:pPr>
        <w:pStyle w:val="SASRBullet"/>
      </w:pPr>
      <w:r>
        <w:t>“T</w:t>
      </w:r>
      <w:r w:rsidRPr="007F73A9">
        <w:t>he central challenge in the poorest countries is not that sweatshops exploit too many people, but that they do</w:t>
      </w:r>
      <w:r>
        <w:t>n’t exploit enough” (paragraph 4).</w:t>
      </w:r>
    </w:p>
    <w:p w:rsidR="00050881" w:rsidRDefault="00DF0739">
      <w:pPr>
        <w:pStyle w:val="SR"/>
      </w:pPr>
      <w:r>
        <w:t xml:space="preserve">Student responses should include the following counterclaims: </w:t>
      </w:r>
    </w:p>
    <w:p w:rsidR="0097404F" w:rsidRDefault="00386CBD" w:rsidP="0097404F">
      <w:pPr>
        <w:pStyle w:val="SASRBullet"/>
      </w:pPr>
      <w:r>
        <w:t xml:space="preserve">The author provides the </w:t>
      </w:r>
      <w:r w:rsidR="00BC0453">
        <w:t>counterclaim that sweatshops are “oppressive” and should be “combated.”</w:t>
      </w:r>
    </w:p>
    <w:p w:rsidR="00BC7CF2" w:rsidRDefault="00BC0453">
      <w:pPr>
        <w:pStyle w:val="SASRBullet"/>
        <w:rPr>
          <w:rStyle w:val="SRChar"/>
          <w:rFonts w:eastAsia="Calibri"/>
        </w:rPr>
      </w:pPr>
      <w:r>
        <w:t>The author writes</w:t>
      </w:r>
      <w:r w:rsidR="00E960E9">
        <w:t>,</w:t>
      </w:r>
      <w:r>
        <w:t xml:space="preserve"> “</w:t>
      </w:r>
      <w:r w:rsidR="004F5B8B" w:rsidRPr="004F5B8B">
        <w:rPr>
          <w:rStyle w:val="SRChar"/>
          <w:rFonts w:eastAsia="Calibri"/>
        </w:rPr>
        <w:t>Mr. Obama and the Democrats who favor labor standards in trade agreements mean well, for they intend to fight back at oppressive sweatshops abroad.”</w:t>
      </w:r>
    </w:p>
    <w:p w:rsidR="00BC7CF2" w:rsidRDefault="00525B87" w:rsidP="00525B87">
      <w:pPr>
        <w:pStyle w:val="TA"/>
      </w:pPr>
      <w:r>
        <w:t>Lead a brief whole-class discussion of student responses.</w:t>
      </w:r>
    </w:p>
    <w:p w:rsidR="000B2D56" w:rsidRDefault="000B2D56" w:rsidP="00CE2836">
      <w:pPr>
        <w:pStyle w:val="LearningSequenceHeader"/>
      </w:pPr>
      <w:r w:rsidRPr="000B2D56">
        <w:t xml:space="preserve">Activity </w:t>
      </w:r>
      <w:r>
        <w:t>3</w:t>
      </w:r>
      <w:r w:rsidRPr="000B2D56">
        <w:t xml:space="preserve">: </w:t>
      </w:r>
      <w:r w:rsidR="00561CFC">
        <w:t xml:space="preserve">Modeling </w:t>
      </w:r>
      <w:r w:rsidR="00553562">
        <w:t>the</w:t>
      </w:r>
      <w:r w:rsidR="00561CFC">
        <w:t xml:space="preserve"> </w:t>
      </w:r>
      <w:r w:rsidR="00104C3B">
        <w:t xml:space="preserve">Evaluating </w:t>
      </w:r>
      <w:r w:rsidR="00465C6D">
        <w:t xml:space="preserve">Argument and Evidence </w:t>
      </w:r>
      <w:r w:rsidR="00561CFC">
        <w:t>Tool</w:t>
      </w:r>
      <w:r w:rsidR="004F295D">
        <w:tab/>
      </w:r>
      <w:r w:rsidR="00B15CE6">
        <w:t>25</w:t>
      </w:r>
      <w:r w:rsidRPr="000B2D56">
        <w:t>%</w:t>
      </w:r>
    </w:p>
    <w:p w:rsidR="00707670" w:rsidRDefault="004F295D" w:rsidP="00707670">
      <w:pPr>
        <w:pStyle w:val="TA"/>
      </w:pPr>
      <w:r>
        <w:t xml:space="preserve">Explain to students that the focus of this lesson’s reading is to delineate and evaluate the </w:t>
      </w:r>
      <w:r w:rsidR="00341003">
        <w:t xml:space="preserve">author’s </w:t>
      </w:r>
      <w:r>
        <w:t xml:space="preserve">argument in </w:t>
      </w:r>
      <w:r w:rsidR="00341003">
        <w:t>“Where Sweatshops Are a Dream.”</w:t>
      </w:r>
      <w:r>
        <w:t xml:space="preserve"> Remind students of the</w:t>
      </w:r>
      <w:r w:rsidR="00043C39">
        <w:t>ir</w:t>
      </w:r>
      <w:r>
        <w:t xml:space="preserve"> work </w:t>
      </w:r>
      <w:r w:rsidR="00043C39">
        <w:t xml:space="preserve">evaluating arguments </w:t>
      </w:r>
      <w:r>
        <w:t xml:space="preserve">in previous lessons and ask for student volunteers to discuss the meaning of the words </w:t>
      </w:r>
      <w:r w:rsidRPr="00E64DAE">
        <w:rPr>
          <w:i/>
        </w:rPr>
        <w:t>delineate</w:t>
      </w:r>
      <w:r>
        <w:t xml:space="preserve"> and </w:t>
      </w:r>
      <w:r w:rsidRPr="00E64DAE">
        <w:rPr>
          <w:i/>
        </w:rPr>
        <w:t>evaluate</w:t>
      </w:r>
      <w:r>
        <w:t>.</w:t>
      </w:r>
    </w:p>
    <w:p w:rsidR="004F295D" w:rsidRDefault="00525B87" w:rsidP="00525B87">
      <w:pPr>
        <w:pStyle w:val="SR"/>
      </w:pPr>
      <w:r>
        <w:t>Student</w:t>
      </w:r>
      <w:r w:rsidR="00457F5C">
        <w:t xml:space="preserve"> responses</w:t>
      </w:r>
      <w:r>
        <w:t xml:space="preserve"> </w:t>
      </w:r>
      <w:r w:rsidR="00457F5C">
        <w:t>may include</w:t>
      </w:r>
      <w:r w:rsidR="0097404F">
        <w:t>:</w:t>
      </w:r>
    </w:p>
    <w:p w:rsidR="00457F5C" w:rsidRDefault="00457F5C" w:rsidP="00457F5C">
      <w:pPr>
        <w:pStyle w:val="SASRBullet"/>
      </w:pPr>
      <w:r>
        <w:t>Delineate means to outline an author’s argument</w:t>
      </w:r>
      <w:r w:rsidR="00525B87">
        <w:t>.</w:t>
      </w:r>
    </w:p>
    <w:p w:rsidR="00457F5C" w:rsidRDefault="001B090D" w:rsidP="00457F5C">
      <w:pPr>
        <w:pStyle w:val="SASRBullet"/>
      </w:pPr>
      <w:r>
        <w:t>E</w:t>
      </w:r>
      <w:r w:rsidR="00457F5C">
        <w:t xml:space="preserve">valuate means to </w:t>
      </w:r>
      <w:r>
        <w:t xml:space="preserve">determine </w:t>
      </w:r>
      <w:r w:rsidR="00457F5C">
        <w:t xml:space="preserve">whether the </w:t>
      </w:r>
      <w:r w:rsidR="00DC37D0">
        <w:t xml:space="preserve">author provides relevant and sufficient evidence to support the </w:t>
      </w:r>
      <w:r w:rsidR="00457F5C">
        <w:t>claims</w:t>
      </w:r>
      <w:r w:rsidR="001D3653">
        <w:t xml:space="preserve"> made</w:t>
      </w:r>
      <w:r w:rsidR="00457F5C">
        <w:t>.</w:t>
      </w:r>
    </w:p>
    <w:p w:rsidR="00283DD6" w:rsidRDefault="00283DD6" w:rsidP="00283DD6">
      <w:pPr>
        <w:pStyle w:val="IN"/>
      </w:pPr>
      <w:r>
        <w:t xml:space="preserve">Consider providing students with the </w:t>
      </w:r>
      <w:r w:rsidR="00825ADC">
        <w:t xml:space="preserve">following </w:t>
      </w:r>
      <w:r>
        <w:t>definition</w:t>
      </w:r>
      <w:r w:rsidR="00825ADC">
        <w:t>:</w:t>
      </w:r>
      <w:r>
        <w:t xml:space="preserve"> </w:t>
      </w:r>
      <w:r w:rsidRPr="00E64DAE">
        <w:rPr>
          <w:i/>
        </w:rPr>
        <w:t>evaluate</w:t>
      </w:r>
      <w:r>
        <w:t xml:space="preserve"> </w:t>
      </w:r>
      <w:r w:rsidR="00825ADC">
        <w:t>means “</w:t>
      </w:r>
      <w:r>
        <w:t>to judge or determine the significance, worth, or quality of.</w:t>
      </w:r>
      <w:r w:rsidR="00825ADC">
        <w:t>”</w:t>
      </w:r>
      <w:r>
        <w:t xml:space="preserve"> </w:t>
      </w:r>
    </w:p>
    <w:p w:rsidR="00B14977" w:rsidRDefault="00283DD6" w:rsidP="00B14977">
      <w:pPr>
        <w:pStyle w:val="IN"/>
      </w:pPr>
      <w:r>
        <w:t>Consider r</w:t>
      </w:r>
      <w:r w:rsidR="00B14977">
        <w:t>emind</w:t>
      </w:r>
      <w:r>
        <w:t>ing</w:t>
      </w:r>
      <w:r w:rsidR="00B14977">
        <w:t xml:space="preserve"> students of the</w:t>
      </w:r>
      <w:r>
        <w:t xml:space="preserve"> </w:t>
      </w:r>
      <w:r w:rsidR="00825ADC">
        <w:t xml:space="preserve">following </w:t>
      </w:r>
      <w:r w:rsidR="00B14977">
        <w:t>definition</w:t>
      </w:r>
      <w:r w:rsidR="00825ADC">
        <w:t xml:space="preserve"> from Lesson 10:</w:t>
      </w:r>
      <w:r w:rsidR="00B14977">
        <w:t xml:space="preserve"> </w:t>
      </w:r>
      <w:r w:rsidR="00B14977" w:rsidRPr="00E64DAE">
        <w:rPr>
          <w:i/>
        </w:rPr>
        <w:t>delineate</w:t>
      </w:r>
      <w:r>
        <w:t xml:space="preserve"> </w:t>
      </w:r>
      <w:r w:rsidR="00825ADC">
        <w:t>means “</w:t>
      </w:r>
      <w:r>
        <w:t>to trace or outline an argument’s central and supporting claims</w:t>
      </w:r>
      <w:r w:rsidR="00825ADC">
        <w:t>.”</w:t>
      </w:r>
      <w:r w:rsidR="00B14977">
        <w:t xml:space="preserve"> </w:t>
      </w:r>
    </w:p>
    <w:p w:rsidR="00BC7CF2" w:rsidRDefault="00561CFC" w:rsidP="00841078">
      <w:pPr>
        <w:pStyle w:val="TA"/>
      </w:pPr>
      <w:r>
        <w:t xml:space="preserve">Display and distribute the Evaluating Argument and Evidence Tool. Inform students that they will </w:t>
      </w:r>
      <w:r w:rsidR="00525B87">
        <w:t>begin using</w:t>
      </w:r>
      <w:r>
        <w:t xml:space="preserve"> the tool </w:t>
      </w:r>
      <w:r w:rsidR="00A71E63">
        <w:t xml:space="preserve">as a </w:t>
      </w:r>
      <w:r w:rsidR="00AE0AF9">
        <w:t>whole</w:t>
      </w:r>
      <w:r>
        <w:t xml:space="preserve"> class before breaking into gr</w:t>
      </w:r>
      <w:r w:rsidR="0097404F">
        <w:t xml:space="preserve">oups to </w:t>
      </w:r>
      <w:r w:rsidR="00525B87">
        <w:t>finish using</w:t>
      </w:r>
      <w:r w:rsidR="0097404F">
        <w:t xml:space="preserve"> the tool. Their completed</w:t>
      </w:r>
      <w:r w:rsidR="006F06D3">
        <w:t xml:space="preserve"> Evaluating Argument</w:t>
      </w:r>
      <w:r>
        <w:t xml:space="preserve"> and Evidence Tool will be handed in at the end of </w:t>
      </w:r>
      <w:r w:rsidR="009A18D3">
        <w:t xml:space="preserve">the lesson </w:t>
      </w:r>
      <w:r>
        <w:t xml:space="preserve">as an assessment. </w:t>
      </w:r>
    </w:p>
    <w:p w:rsidR="00BC7CF2" w:rsidRDefault="00561CFC">
      <w:pPr>
        <w:pStyle w:val="SA"/>
      </w:pPr>
      <w:r>
        <w:t>Students follow along.</w:t>
      </w:r>
    </w:p>
    <w:p w:rsidR="00283DD6" w:rsidRDefault="00283DD6" w:rsidP="00283DD6">
      <w:pPr>
        <w:pStyle w:val="TA"/>
      </w:pPr>
      <w:r w:rsidRPr="0098398D">
        <w:t xml:space="preserve">Remind students that </w:t>
      </w:r>
      <w:r>
        <w:t>completion of the tool</w:t>
      </w:r>
      <w:r w:rsidRPr="0098398D">
        <w:t xml:space="preserve"> will help them keep track of evidence they will be using later in the </w:t>
      </w:r>
      <w:r w:rsidR="00E64DAE">
        <w:t>End-of</w:t>
      </w:r>
      <w:r w:rsidRPr="0098398D">
        <w:t xml:space="preserve">-Unit </w:t>
      </w:r>
      <w:r>
        <w:t>Assessment. Completion of the tool</w:t>
      </w:r>
      <w:r w:rsidRPr="0098398D">
        <w:t xml:space="preserve"> supports students’ engagement with </w:t>
      </w:r>
      <w:r>
        <w:t>RI.9-</w:t>
      </w:r>
      <w:r w:rsidR="00253005">
        <w:t xml:space="preserve">10.6, which asks students to consider author’s purpose and point of view, and </w:t>
      </w:r>
      <w:r w:rsidR="00233544">
        <w:t>R.9-</w:t>
      </w:r>
      <w:r>
        <w:t>10.8,</w:t>
      </w:r>
      <w:r w:rsidRPr="0098398D">
        <w:t xml:space="preserve"> which </w:t>
      </w:r>
      <w:r w:rsidR="00253005">
        <w:t>asks students to delineate and evaluate</w:t>
      </w:r>
      <w:r>
        <w:t xml:space="preserve"> arguments</w:t>
      </w:r>
      <w:r w:rsidRPr="0098398D">
        <w:t>.</w:t>
      </w:r>
    </w:p>
    <w:p w:rsidR="00BC7CF2" w:rsidRPr="00465C6D" w:rsidRDefault="00561CFC" w:rsidP="00841078">
      <w:pPr>
        <w:pStyle w:val="TA"/>
      </w:pPr>
      <w:proofErr w:type="gramStart"/>
      <w:r>
        <w:t xml:space="preserve">Direct students to their reading and annotation </w:t>
      </w:r>
      <w:r w:rsidR="00DD672E">
        <w:t xml:space="preserve">of paragraphs 4 and 5 of the article “Where Sweatshops Are a Dream” </w:t>
      </w:r>
      <w:r>
        <w:t>from the previous lesson</w:t>
      </w:r>
      <w:r w:rsidR="00DD672E">
        <w:t>.</w:t>
      </w:r>
      <w:proofErr w:type="gramEnd"/>
      <w:r>
        <w:t xml:space="preserve"> </w:t>
      </w:r>
      <w:r w:rsidR="00E64DAE">
        <w:t>Instruct</w:t>
      </w:r>
      <w:r w:rsidR="009B1DAA">
        <w:t xml:space="preserve"> students </w:t>
      </w:r>
      <w:r w:rsidR="00E64DAE">
        <w:t xml:space="preserve">to </w:t>
      </w:r>
      <w:r w:rsidR="00525B87">
        <w:t>complete</w:t>
      </w:r>
      <w:r w:rsidR="009B1DAA">
        <w:t xml:space="preserve"> the “Text” and “Question” box</w:t>
      </w:r>
      <w:r w:rsidR="00525B87">
        <w:t>es</w:t>
      </w:r>
      <w:r w:rsidR="00825ADC">
        <w:t xml:space="preserve"> of the Evaluating Argument and Evidence Tool</w:t>
      </w:r>
      <w:r w:rsidR="009B1DAA">
        <w:t xml:space="preserve">. </w:t>
      </w:r>
    </w:p>
    <w:p w:rsidR="00BC7CF2" w:rsidRDefault="009B1DAA">
      <w:pPr>
        <w:pStyle w:val="SA"/>
      </w:pPr>
      <w:r>
        <w:t xml:space="preserve">Students </w:t>
      </w:r>
      <w:r w:rsidR="00525B87">
        <w:t>complete</w:t>
      </w:r>
      <w:r>
        <w:t xml:space="preserve"> the “Text” and “Question” box</w:t>
      </w:r>
      <w:r w:rsidR="00525B87">
        <w:t>es</w:t>
      </w:r>
      <w:r w:rsidR="00825ADC">
        <w:t xml:space="preserve"> of the tool</w:t>
      </w:r>
      <w:r>
        <w:t>.</w:t>
      </w:r>
    </w:p>
    <w:p w:rsidR="005D2815" w:rsidRDefault="005D2815" w:rsidP="00C82D15">
      <w:pPr>
        <w:pStyle w:val="TA"/>
      </w:pPr>
      <w:r>
        <w:t xml:space="preserve">Remind students of their work with point of view in the previous lesson </w:t>
      </w:r>
      <w:r w:rsidR="00825ADC">
        <w:t>(Lesson 18)</w:t>
      </w:r>
      <w:r>
        <w:t>. Ask for student volunteers to share the author’s point of view in the article.</w:t>
      </w:r>
    </w:p>
    <w:p w:rsidR="005D2815" w:rsidRDefault="005D2815" w:rsidP="005D2815">
      <w:pPr>
        <w:pStyle w:val="SR"/>
      </w:pPr>
      <w:r>
        <w:t xml:space="preserve">Student responses </w:t>
      </w:r>
      <w:r w:rsidR="00C038F8">
        <w:t>may</w:t>
      </w:r>
      <w:r>
        <w:t xml:space="preserve"> include the following: </w:t>
      </w:r>
    </w:p>
    <w:p w:rsidR="00C038F8" w:rsidRDefault="00C038F8" w:rsidP="00646E43">
      <w:pPr>
        <w:pStyle w:val="SASRBullet"/>
      </w:pPr>
      <w:r>
        <w:t>The author describes his personal experience of watching living standards rise in East Asia</w:t>
      </w:r>
      <w:r w:rsidR="004E0441">
        <w:t>,</w:t>
      </w:r>
      <w:r>
        <w:t xml:space="preserve"> which supports his point of view that sweatshops can lead to economic growth in developing nations. </w:t>
      </w:r>
    </w:p>
    <w:p w:rsidR="00C038F8" w:rsidRDefault="00C038F8" w:rsidP="00646E43">
      <w:pPr>
        <w:pStyle w:val="SASRBullet"/>
      </w:pPr>
      <w:r>
        <w:t xml:space="preserve">The author states, </w:t>
      </w:r>
      <w:r w:rsidRPr="00DD672E">
        <w:t>“When I defend sweatshops, people always ask me: But would you want to work in a sweatshop? No, of course not. But I would want even less to pull a rickshaw.”</w:t>
      </w:r>
      <w:r>
        <w:t xml:space="preserve"> This supports his point of view that although he does not think sweatshop work is good, it is better than many job alternatives available to those in developing nations.</w:t>
      </w:r>
    </w:p>
    <w:p w:rsidR="00C038F8" w:rsidRDefault="00C038F8" w:rsidP="00646E43">
      <w:pPr>
        <w:pStyle w:val="SASRBullet"/>
      </w:pPr>
      <w:r>
        <w:t xml:space="preserve">The author’s point of view develops out of his witnessing economic growth and from talking to workers in poor countries. </w:t>
      </w:r>
      <w:r w:rsidRPr="00DD672E">
        <w:t>“My views on sweatshops are shaped by years living in East Asia, watc</w:t>
      </w:r>
      <w:r>
        <w:t>hing as living standards soared—</w:t>
      </w:r>
      <w:r w:rsidRPr="00DD672E">
        <w:t>including those in my wife’s ance</w:t>
      </w:r>
      <w:r>
        <w:t>stral village in southern China—</w:t>
      </w:r>
      <w:r w:rsidRPr="00DD672E">
        <w:t>because of sweatshop jobs.”</w:t>
      </w:r>
    </w:p>
    <w:p w:rsidR="00C038F8" w:rsidRDefault="00C038F8" w:rsidP="001C5C72">
      <w:pPr>
        <w:pStyle w:val="TA"/>
      </w:pPr>
      <w:r>
        <w:t xml:space="preserve">Instruct students to fill out the “Point of View” section on the Evaluating Argument and Evidence </w:t>
      </w:r>
      <w:r w:rsidR="00C72DE5">
        <w:t>T</w:t>
      </w:r>
      <w:r>
        <w:t xml:space="preserve">ool. </w:t>
      </w:r>
    </w:p>
    <w:p w:rsidR="00C038F8" w:rsidRDefault="00C038F8" w:rsidP="00C038F8">
      <w:pPr>
        <w:pStyle w:val="SA"/>
      </w:pPr>
      <w:r>
        <w:t>Students fill out the “Point of View” section on the Evaluating Argument and Evidence Tool.</w:t>
      </w:r>
    </w:p>
    <w:p w:rsidR="003A5C37" w:rsidRDefault="003A5C37" w:rsidP="00C82D15">
      <w:pPr>
        <w:pStyle w:val="TA"/>
      </w:pPr>
      <w:r>
        <w:t xml:space="preserve">Instruct students to write on the Evaluating Argument and Evidence Tool the central claim they identified for </w:t>
      </w:r>
      <w:r w:rsidR="00C80494">
        <w:t>h</w:t>
      </w:r>
      <w:r>
        <w:t>omework and discussed during Homework Accountability.</w:t>
      </w:r>
    </w:p>
    <w:p w:rsidR="003A5C37" w:rsidRDefault="003A5C37" w:rsidP="003A5C37">
      <w:pPr>
        <w:pStyle w:val="SA"/>
      </w:pPr>
      <w:r w:rsidRPr="003A5C37">
        <w:t>Students write the central claim on the Evaluating Argument and Evidence Tool.</w:t>
      </w:r>
    </w:p>
    <w:p w:rsidR="00BC7CF2" w:rsidRDefault="009B1DAA" w:rsidP="00C82D15">
      <w:pPr>
        <w:pStyle w:val="TA"/>
      </w:pPr>
      <w:r>
        <w:t xml:space="preserve">Inform students that they will use the following questions to </w:t>
      </w:r>
      <w:r w:rsidR="00AA61DC">
        <w:t xml:space="preserve">determine </w:t>
      </w:r>
      <w:r w:rsidR="008F20D9">
        <w:t xml:space="preserve">the </w:t>
      </w:r>
      <w:r w:rsidR="00AA61DC">
        <w:t>supporting claim</w:t>
      </w:r>
      <w:r w:rsidR="008F20D9">
        <w:t>s</w:t>
      </w:r>
      <w:r w:rsidR="00AA61DC">
        <w:t xml:space="preserve"> and e</w:t>
      </w:r>
      <w:r>
        <w:t>vidence</w:t>
      </w:r>
      <w:r w:rsidR="005D2815">
        <w:t xml:space="preserve"> the author uses to support the central claim</w:t>
      </w:r>
      <w:r>
        <w:t xml:space="preserve">. </w:t>
      </w:r>
    </w:p>
    <w:p w:rsidR="00BC7CF2" w:rsidRDefault="00D74FEC" w:rsidP="00465C6D">
      <w:pPr>
        <w:pStyle w:val="Q"/>
      </w:pPr>
      <w:r>
        <w:t xml:space="preserve">What claim does the author make in paragraph 5? </w:t>
      </w:r>
    </w:p>
    <w:p w:rsidR="00BC7CF2" w:rsidRPr="00DD672E" w:rsidRDefault="004035C5" w:rsidP="00DD672E">
      <w:pPr>
        <w:pStyle w:val="SR"/>
      </w:pPr>
      <w:r>
        <w:t>He</w:t>
      </w:r>
      <w:r w:rsidR="00D74FEC" w:rsidRPr="00DD672E">
        <w:t xml:space="preserve"> write</w:t>
      </w:r>
      <w:r w:rsidR="00525B87">
        <w:t>s that for families in the dump</w:t>
      </w:r>
      <w:r w:rsidR="00D74FEC" w:rsidRPr="00DD672E">
        <w:t xml:space="preserve"> “a job in a sweatshop is a cherished dream, an escalator out of poverty.” His claim is that workers in poor countries want jobs in sweatshops.</w:t>
      </w:r>
    </w:p>
    <w:p w:rsidR="00BC7CF2" w:rsidRDefault="00D74FEC" w:rsidP="00841078">
      <w:pPr>
        <w:pStyle w:val="TA"/>
      </w:pPr>
      <w:r>
        <w:t xml:space="preserve">Show students where to </w:t>
      </w:r>
      <w:r w:rsidR="00525B87">
        <w:t>write</w:t>
      </w:r>
      <w:r>
        <w:t xml:space="preserve"> this claim in </w:t>
      </w:r>
      <w:r w:rsidR="00727236">
        <w:t xml:space="preserve">one of </w:t>
      </w:r>
      <w:r>
        <w:t>the “Supporting Claim” box</w:t>
      </w:r>
      <w:r w:rsidR="00727236">
        <w:t>es</w:t>
      </w:r>
      <w:r>
        <w:t>.</w:t>
      </w:r>
    </w:p>
    <w:p w:rsidR="00BC7CF2" w:rsidRDefault="00DD672E">
      <w:pPr>
        <w:pStyle w:val="SA"/>
      </w:pPr>
      <w:r>
        <w:t xml:space="preserve">Students </w:t>
      </w:r>
      <w:r w:rsidR="00351757">
        <w:t>write</w:t>
      </w:r>
      <w:r w:rsidR="006E3250">
        <w:t xml:space="preserve"> </w:t>
      </w:r>
      <w:r>
        <w:t xml:space="preserve">the </w:t>
      </w:r>
      <w:r w:rsidR="00351757">
        <w:t xml:space="preserve">supporting </w:t>
      </w:r>
      <w:r w:rsidR="006E3250">
        <w:t xml:space="preserve">claim </w:t>
      </w:r>
      <w:r>
        <w:t xml:space="preserve">in </w:t>
      </w:r>
      <w:r w:rsidR="006E3250">
        <w:t>the relevant section of the tool.</w:t>
      </w:r>
    </w:p>
    <w:p w:rsidR="00465C6D" w:rsidRDefault="006E3250" w:rsidP="00465C6D">
      <w:pPr>
        <w:pStyle w:val="Q"/>
      </w:pPr>
      <w:r>
        <w:t xml:space="preserve">What evidence does the author </w:t>
      </w:r>
      <w:r w:rsidR="00981435">
        <w:t>provide</w:t>
      </w:r>
      <w:r>
        <w:t xml:space="preserve"> to support this claim?</w:t>
      </w:r>
    </w:p>
    <w:p w:rsidR="00BC7CF2" w:rsidRDefault="006E3250">
      <w:pPr>
        <w:pStyle w:val="SR"/>
      </w:pPr>
      <w:r>
        <w:t xml:space="preserve">He quotes and describes people who say they would rather work in a sweatshop: </w:t>
      </w:r>
    </w:p>
    <w:p w:rsidR="00BC7CF2" w:rsidRPr="00646E43" w:rsidRDefault="006E3250" w:rsidP="00646E43">
      <w:pPr>
        <w:pStyle w:val="SASRBullet"/>
      </w:pPr>
      <w:r>
        <w:t>“</w:t>
      </w:r>
      <w:r w:rsidR="00351757">
        <w:t>‘</w:t>
      </w:r>
      <w:r w:rsidRPr="00646E43">
        <w:t>I’d love to get a job in a factory,</w:t>
      </w:r>
      <w:r w:rsidR="00383685" w:rsidRPr="00646E43">
        <w:t>’</w:t>
      </w:r>
      <w:r w:rsidRPr="00646E43">
        <w:t xml:space="preserve"> said Pim Srey Rath, a 19-year-old woman scavenging for plasti</w:t>
      </w:r>
      <w:r w:rsidR="00351757" w:rsidRPr="00646E43">
        <w:t>c. ‘</w:t>
      </w:r>
      <w:r w:rsidRPr="00646E43">
        <w:t>At least that work is in the shade. Here is where it’s hot.</w:t>
      </w:r>
      <w:r w:rsidR="00383685" w:rsidRPr="00646E43">
        <w:t>’</w:t>
      </w:r>
      <w:r w:rsidRPr="00646E43">
        <w:t>”</w:t>
      </w:r>
    </w:p>
    <w:p w:rsidR="00BC7CF2" w:rsidRPr="00646E43" w:rsidRDefault="006E3250" w:rsidP="00646E43">
      <w:pPr>
        <w:pStyle w:val="SASRBullet"/>
      </w:pPr>
      <w:r w:rsidRPr="00646E43">
        <w:t>“Another woman, Vath Sam Oeun, hopes her 10-year-old boy, scavenging beside her, grows up to get a factory job, partly because she has seen other children run over by garbage trucks.”</w:t>
      </w:r>
    </w:p>
    <w:p w:rsidR="00BC7CF2" w:rsidRDefault="006E3250" w:rsidP="00841078">
      <w:pPr>
        <w:pStyle w:val="TA"/>
      </w:pPr>
      <w:r>
        <w:t xml:space="preserve">Instruct students to </w:t>
      </w:r>
      <w:r w:rsidR="00C141D1">
        <w:t>T</w:t>
      </w:r>
      <w:r>
        <w:t>urn</w:t>
      </w:r>
      <w:r w:rsidR="00C141D1">
        <w:t>-</w:t>
      </w:r>
      <w:r>
        <w:t>and</w:t>
      </w:r>
      <w:r w:rsidR="00C141D1">
        <w:t>-T</w:t>
      </w:r>
      <w:r>
        <w:t>alk about whether the evidence</w:t>
      </w:r>
      <w:r w:rsidR="0090189F">
        <w:t xml:space="preserve"> the author provides in support of this claim</w:t>
      </w:r>
      <w:r>
        <w:t xml:space="preserve"> is relevant and sufficient.</w:t>
      </w:r>
      <w:r w:rsidR="008F4E93">
        <w:t xml:space="preserve"> </w:t>
      </w:r>
      <w:r w:rsidR="00C80494">
        <w:t>A</w:t>
      </w:r>
      <w:r w:rsidR="00E57768">
        <w:t>sk student volunteers to share their responses.</w:t>
      </w:r>
    </w:p>
    <w:p w:rsidR="00BC7CF2" w:rsidRDefault="00E57768">
      <w:pPr>
        <w:pStyle w:val="SR"/>
      </w:pPr>
      <w:r>
        <w:t xml:space="preserve">Student responses </w:t>
      </w:r>
      <w:r w:rsidR="0090189F">
        <w:t>may</w:t>
      </w:r>
      <w:r>
        <w:t xml:space="preserve"> include:</w:t>
      </w:r>
    </w:p>
    <w:p w:rsidR="00BC7CF2" w:rsidRDefault="00E57768" w:rsidP="00646E43">
      <w:pPr>
        <w:pStyle w:val="SASRBullet"/>
      </w:pPr>
      <w:r>
        <w:t xml:space="preserve">The evidence is relevant, since he </w:t>
      </w:r>
      <w:r w:rsidR="005A798D">
        <w:t>quotes</w:t>
      </w:r>
      <w:r>
        <w:t xml:space="preserve"> workers in poor countries who say they would prefer to work in a sweatshop</w:t>
      </w:r>
      <w:r w:rsidR="000742E9">
        <w:t xml:space="preserve"> to </w:t>
      </w:r>
      <w:r w:rsidR="00907FBA">
        <w:t xml:space="preserve">the </w:t>
      </w:r>
      <w:r w:rsidR="000742E9">
        <w:t>alternative jobs available to them</w:t>
      </w:r>
      <w:r>
        <w:t>.</w:t>
      </w:r>
    </w:p>
    <w:p w:rsidR="00BC7CF2" w:rsidRDefault="00E57768" w:rsidP="00646E43">
      <w:pPr>
        <w:pStyle w:val="SASRBullet"/>
      </w:pPr>
      <w:r>
        <w:t xml:space="preserve">The evidence is sufficient to show that at least some workers would prefer working in sweatshops to their current situation, but it does not show that all workers would prefer </w:t>
      </w:r>
      <w:r w:rsidR="00DD672E">
        <w:t>working in sweatshops</w:t>
      </w:r>
      <w:r>
        <w:t>.</w:t>
      </w:r>
    </w:p>
    <w:p w:rsidR="00BC7CF2" w:rsidRDefault="00561CFC">
      <w:pPr>
        <w:pStyle w:val="LearningSequenceHeader"/>
      </w:pPr>
      <w:r>
        <w:t xml:space="preserve">Activity 4: </w:t>
      </w:r>
      <w:r w:rsidR="00BD098C">
        <w:t>Reading and Discussion</w:t>
      </w:r>
      <w:r w:rsidR="00BD3E0D">
        <w:t xml:space="preserve"> </w:t>
      </w:r>
      <w:r w:rsidR="0064723E">
        <w:tab/>
      </w:r>
      <w:r w:rsidR="00045139">
        <w:t>35</w:t>
      </w:r>
      <w:r w:rsidR="00B15CE6">
        <w:t>%</w:t>
      </w:r>
    </w:p>
    <w:p w:rsidR="0054606F" w:rsidRDefault="002230FF" w:rsidP="00841078">
      <w:pPr>
        <w:pStyle w:val="TA"/>
      </w:pPr>
      <w:r w:rsidRPr="00B01D3F">
        <w:t>Instruct students to</w:t>
      </w:r>
      <w:r w:rsidR="009F0A03" w:rsidRPr="00B01D3F">
        <w:t xml:space="preserve"> form small groups</w:t>
      </w:r>
      <w:r w:rsidR="0054606F">
        <w:t>. Post or project each set of questions for students to discuss.</w:t>
      </w:r>
    </w:p>
    <w:p w:rsidR="00265DEE" w:rsidRDefault="0054606F" w:rsidP="00841078">
      <w:pPr>
        <w:pStyle w:val="TA"/>
      </w:pPr>
      <w:r>
        <w:t>Instruct student groups to</w:t>
      </w:r>
      <w:r w:rsidR="002230FF" w:rsidRPr="00B01D3F">
        <w:t xml:space="preserve"> read</w:t>
      </w:r>
      <w:r w:rsidR="00A22C16" w:rsidRPr="00B01D3F">
        <w:t xml:space="preserve"> </w:t>
      </w:r>
      <w:r w:rsidR="0097337D" w:rsidRPr="00B01D3F">
        <w:t xml:space="preserve">from paragraph 11 to the end </w:t>
      </w:r>
      <w:r w:rsidR="00265DEE" w:rsidRPr="00B01D3F">
        <w:t xml:space="preserve">of the article </w:t>
      </w:r>
      <w:r>
        <w:t>and answer the following questions before sharing out with the class</w:t>
      </w:r>
      <w:r w:rsidR="002230FF" w:rsidRPr="00B01D3F">
        <w:t xml:space="preserve">. </w:t>
      </w:r>
    </w:p>
    <w:p w:rsidR="00C33EE5" w:rsidRPr="00B01D3F" w:rsidRDefault="00C33EE5" w:rsidP="00841078">
      <w:pPr>
        <w:pStyle w:val="IN"/>
        <w:numPr>
          <w:ilvl w:val="0"/>
          <w:numId w:val="3"/>
        </w:numPr>
        <w:ind w:left="360"/>
      </w:pPr>
      <w:r>
        <w:t xml:space="preserve">If necessary to support comprehension and fluency, consider using a masterful reading of the focus excerpt for the lesson. </w:t>
      </w:r>
    </w:p>
    <w:p w:rsidR="009C2CFC" w:rsidRPr="00DE110D" w:rsidRDefault="009C2CFC" w:rsidP="00DE110D">
      <w:pPr>
        <w:pStyle w:val="TA"/>
        <w:rPr>
          <w:rFonts w:asciiTheme="minorHAnsi" w:hAnsiTheme="minorHAnsi"/>
        </w:rPr>
      </w:pPr>
      <w:r>
        <w:t xml:space="preserve">Provide students the following definitions: </w:t>
      </w:r>
      <w:r w:rsidRPr="009C2CFC">
        <w:rPr>
          <w:i/>
        </w:rPr>
        <w:t>production costs</w:t>
      </w:r>
      <w:r w:rsidRPr="00DD672E">
        <w:t xml:space="preserve"> means </w:t>
      </w:r>
      <w:r>
        <w:t>“</w:t>
      </w:r>
      <w:r w:rsidR="0054606F" w:rsidRPr="0054606F">
        <w:t>money a company has to pay to make something</w:t>
      </w:r>
      <w:r>
        <w:t xml:space="preserve">,” </w:t>
      </w:r>
      <w:r w:rsidRPr="009C2CFC">
        <w:rPr>
          <w:i/>
        </w:rPr>
        <w:t>capital-intensive</w:t>
      </w:r>
      <w:r w:rsidRPr="00DD672E">
        <w:t xml:space="preserve"> means </w:t>
      </w:r>
      <w:r w:rsidR="00DE110D">
        <w:t>“</w:t>
      </w:r>
      <w:r w:rsidR="00DE110D" w:rsidRPr="00A45E9D">
        <w:rPr>
          <w:rFonts w:asciiTheme="minorHAnsi" w:eastAsia="Times New Roman" w:hAnsiTheme="minorHAnsi"/>
        </w:rPr>
        <w:t>referring to a business or industry that requires a lot of capital or goods such as building, equipment</w:t>
      </w:r>
      <w:r w:rsidR="00DE110D">
        <w:rPr>
          <w:rFonts w:asciiTheme="minorHAnsi" w:eastAsia="Times New Roman" w:hAnsiTheme="minorHAnsi"/>
        </w:rPr>
        <w:t>,</w:t>
      </w:r>
      <w:r w:rsidR="00DE110D" w:rsidRPr="00A45E9D">
        <w:rPr>
          <w:rFonts w:asciiTheme="minorHAnsi" w:eastAsia="Times New Roman" w:hAnsiTheme="minorHAnsi"/>
        </w:rPr>
        <w:t xml:space="preserve"> an</w:t>
      </w:r>
      <w:r w:rsidR="00DE110D">
        <w:rPr>
          <w:rFonts w:asciiTheme="minorHAnsi" w:eastAsia="Times New Roman" w:hAnsiTheme="minorHAnsi"/>
        </w:rPr>
        <w:t>d machinery as opposed to labor</w:t>
      </w:r>
      <w:r w:rsidR="00DE110D" w:rsidRPr="00A45E9D">
        <w:rPr>
          <w:rFonts w:asciiTheme="minorHAnsi" w:eastAsia="Times New Roman" w:hAnsiTheme="minorHAnsi"/>
        </w:rPr>
        <w:t xml:space="preserve"> or workers</w:t>
      </w:r>
      <w:r w:rsidR="00DE110D">
        <w:rPr>
          <w:rFonts w:asciiTheme="minorHAnsi" w:eastAsia="Times New Roman" w:hAnsiTheme="minorHAnsi"/>
        </w:rPr>
        <w:t>,”</w:t>
      </w:r>
      <w:r w:rsidR="00DE110D">
        <w:rPr>
          <w:rFonts w:asciiTheme="minorHAnsi" w:hAnsiTheme="minorHAnsi"/>
        </w:rPr>
        <w:t xml:space="preserve"> and </w:t>
      </w:r>
      <w:r w:rsidR="00DE110D" w:rsidRPr="00DE110D">
        <w:rPr>
          <w:rFonts w:asciiTheme="minorHAnsi" w:eastAsia="Times New Roman" w:hAnsiTheme="minorHAnsi"/>
          <w:i/>
        </w:rPr>
        <w:t>labor-intensive</w:t>
      </w:r>
      <w:r w:rsidR="00DE110D">
        <w:rPr>
          <w:rFonts w:asciiTheme="minorHAnsi" w:eastAsia="Times New Roman" w:hAnsiTheme="minorHAnsi"/>
        </w:rPr>
        <w:t xml:space="preserve"> means “refer</w:t>
      </w:r>
      <w:r w:rsidR="00B37ABB">
        <w:rPr>
          <w:rFonts w:asciiTheme="minorHAnsi" w:eastAsia="Times New Roman" w:hAnsiTheme="minorHAnsi"/>
        </w:rPr>
        <w:t>r</w:t>
      </w:r>
      <w:r w:rsidR="00DE110D">
        <w:rPr>
          <w:rFonts w:asciiTheme="minorHAnsi" w:eastAsia="Times New Roman" w:hAnsiTheme="minorHAnsi"/>
        </w:rPr>
        <w:t>ing</w:t>
      </w:r>
      <w:r w:rsidR="00DE110D" w:rsidRPr="00A45E9D">
        <w:rPr>
          <w:rFonts w:asciiTheme="minorHAnsi" w:eastAsia="Times New Roman" w:hAnsiTheme="minorHAnsi"/>
        </w:rPr>
        <w:t xml:space="preserve"> to a business or industry that requires a lot of workers or labor as opposed to capital</w:t>
      </w:r>
      <w:r w:rsidR="00DE110D">
        <w:rPr>
          <w:rFonts w:asciiTheme="minorHAnsi" w:eastAsia="Times New Roman" w:hAnsiTheme="minorHAnsi"/>
        </w:rPr>
        <w:t xml:space="preserve"> such as equipment or machinery.”</w:t>
      </w:r>
    </w:p>
    <w:p w:rsidR="009C2CFC" w:rsidRDefault="009C2CFC" w:rsidP="009C2CFC">
      <w:pPr>
        <w:pStyle w:val="SA"/>
        <w:numPr>
          <w:ilvl w:val="0"/>
          <w:numId w:val="33"/>
        </w:numPr>
      </w:pPr>
      <w:r>
        <w:t xml:space="preserve">Students write the definitions of </w:t>
      </w:r>
      <w:r w:rsidR="00DE110D">
        <w:rPr>
          <w:i/>
        </w:rPr>
        <w:t>production costs, capital-intensive</w:t>
      </w:r>
      <w:r>
        <w:rPr>
          <w:i/>
        </w:rPr>
        <w:t xml:space="preserve">, </w:t>
      </w:r>
      <w:r>
        <w:t>and</w:t>
      </w:r>
      <w:r>
        <w:rPr>
          <w:i/>
        </w:rPr>
        <w:t xml:space="preserve"> </w:t>
      </w:r>
      <w:r w:rsidR="00DE110D">
        <w:rPr>
          <w:i/>
        </w:rPr>
        <w:t>labor-intensive</w:t>
      </w:r>
      <w:r>
        <w:t xml:space="preserve"> on their copy of the text or in a vocabulary notebook.</w:t>
      </w:r>
    </w:p>
    <w:p w:rsidR="0097337D" w:rsidRPr="00B93C3B" w:rsidRDefault="0097337D" w:rsidP="0054606F">
      <w:pPr>
        <w:pStyle w:val="Q"/>
      </w:pPr>
      <w:r>
        <w:t xml:space="preserve">What counterclaim regarding labor standards </w:t>
      </w:r>
      <w:r w:rsidR="00A45BF5">
        <w:t xml:space="preserve">does </w:t>
      </w:r>
      <w:r w:rsidR="00691380">
        <w:t>the author introduce</w:t>
      </w:r>
      <w:r>
        <w:t xml:space="preserve"> in paragraph 12? </w:t>
      </w:r>
    </w:p>
    <w:p w:rsidR="0097337D" w:rsidRPr="00562D93" w:rsidRDefault="00413F24" w:rsidP="00841078">
      <w:pPr>
        <w:pStyle w:val="SR"/>
      </w:pPr>
      <w:r>
        <w:t>T</w:t>
      </w:r>
      <w:r w:rsidR="00DF0739">
        <w:t xml:space="preserve">he author </w:t>
      </w:r>
      <w:r w:rsidR="001E1FF8" w:rsidRPr="001E1FF8">
        <w:t xml:space="preserve">introduces the counterclaim that “labor standards can improve wages and working conditions, without greatly affecting the eventual retail cost of goods.” </w:t>
      </w:r>
    </w:p>
    <w:p w:rsidR="000C3717" w:rsidRDefault="000C3717" w:rsidP="000C3717">
      <w:pPr>
        <w:pStyle w:val="Q"/>
      </w:pPr>
      <w:r>
        <w:t xml:space="preserve">What </w:t>
      </w:r>
      <w:r w:rsidR="003F27BB">
        <w:t>evidence does the author give to dispute the counterclaim made above</w:t>
      </w:r>
      <w:r>
        <w:t>?</w:t>
      </w:r>
    </w:p>
    <w:p w:rsidR="00B51E43" w:rsidRDefault="00A401AF" w:rsidP="00B51E43">
      <w:pPr>
        <w:pStyle w:val="SR"/>
      </w:pPr>
      <w:r>
        <w:t>In order to compensate for increased production costs, f</w:t>
      </w:r>
      <w:r w:rsidR="00B51E43">
        <w:t>actories will move to countries with better equipment</w:t>
      </w:r>
      <w:r w:rsidR="005A798D">
        <w:t xml:space="preserve"> where they do not</w:t>
      </w:r>
      <w:r w:rsidR="006412D0">
        <w:t xml:space="preserve"> have to </w:t>
      </w:r>
      <w:r w:rsidR="00FB059A">
        <w:t xml:space="preserve">rely on </w:t>
      </w:r>
      <w:r w:rsidR="006412D0">
        <w:t>as much labor</w:t>
      </w:r>
      <w:r w:rsidR="00B51E43">
        <w:t>.</w:t>
      </w:r>
    </w:p>
    <w:p w:rsidR="00B87C61" w:rsidRDefault="00B87C61" w:rsidP="00012948">
      <w:pPr>
        <w:pStyle w:val="Q"/>
        <w:keepNext/>
      </w:pPr>
      <w:r>
        <w:t xml:space="preserve">What words and phrases in the text can help you make meaning of </w:t>
      </w:r>
      <w:r w:rsidRPr="0054606F">
        <w:rPr>
          <w:i/>
        </w:rPr>
        <w:t>pare</w:t>
      </w:r>
      <w:r>
        <w:t xml:space="preserve"> in this context?</w:t>
      </w:r>
    </w:p>
    <w:p w:rsidR="00265DEE" w:rsidRDefault="00B51E43" w:rsidP="001133C5">
      <w:pPr>
        <w:pStyle w:val="SR"/>
      </w:pPr>
      <w:r>
        <w:t xml:space="preserve">A company would want to </w:t>
      </w:r>
      <w:r w:rsidR="002F1147">
        <w:t>cut</w:t>
      </w:r>
      <w:r>
        <w:t xml:space="preserve"> </w:t>
      </w:r>
      <w:r w:rsidR="0054606F">
        <w:t>“</w:t>
      </w:r>
      <w:r w:rsidR="001133C5" w:rsidRPr="0054606F">
        <w:rPr>
          <w:i/>
        </w:rPr>
        <w:t xml:space="preserve">production </w:t>
      </w:r>
      <w:r w:rsidRPr="0054606F">
        <w:rPr>
          <w:i/>
        </w:rPr>
        <w:t>costs</w:t>
      </w:r>
      <w:r w:rsidR="0054606F">
        <w:rPr>
          <w:i/>
        </w:rPr>
        <w:t>”</w:t>
      </w:r>
      <w:r>
        <w:t xml:space="preserve"> so it probably means </w:t>
      </w:r>
      <w:r w:rsidR="00B87C61">
        <w:t>“</w:t>
      </w:r>
      <w:r>
        <w:t>reduce</w:t>
      </w:r>
      <w:r w:rsidR="00B87C61">
        <w:t>”</w:t>
      </w:r>
      <w:r>
        <w:t xml:space="preserve"> or </w:t>
      </w:r>
      <w:r w:rsidR="00B87C61">
        <w:t>“</w:t>
      </w:r>
      <w:r w:rsidR="002F1147">
        <w:t>trim down</w:t>
      </w:r>
      <w:r>
        <w:t>.</w:t>
      </w:r>
      <w:r w:rsidR="00B87C61">
        <w:t>”</w:t>
      </w:r>
    </w:p>
    <w:p w:rsidR="00610D9C" w:rsidRPr="003C6027" w:rsidRDefault="00610D9C" w:rsidP="00610D9C">
      <w:pPr>
        <w:pStyle w:val="IN"/>
      </w:pPr>
      <w:r w:rsidRPr="003E3324">
        <w:t>Consider drawing students’ attention to their appli</w:t>
      </w:r>
      <w:r w:rsidRPr="003C6027">
        <w:t>cation of standard L.</w:t>
      </w:r>
      <w:r>
        <w:t>9-10</w:t>
      </w:r>
      <w:r w:rsidRPr="003C6027">
        <w:t xml:space="preserve">.4.a </w:t>
      </w:r>
      <w:r w:rsidRPr="003E3324">
        <w:t>through the process of using context to make meaning of a word.</w:t>
      </w:r>
    </w:p>
    <w:p w:rsidR="00265DEE" w:rsidRDefault="005A798D" w:rsidP="00265DEE">
      <w:pPr>
        <w:pStyle w:val="Q"/>
      </w:pPr>
      <w:r>
        <w:t xml:space="preserve">What claim does </w:t>
      </w:r>
      <w:r w:rsidR="001741BD">
        <w:t>the author</w:t>
      </w:r>
      <w:r>
        <w:t xml:space="preserve"> make</w:t>
      </w:r>
      <w:r w:rsidR="001741BD">
        <w:t xml:space="preserve"> in paragraph 12 about the relationship between labor standards and poor countries?</w:t>
      </w:r>
    </w:p>
    <w:p w:rsidR="006412D0" w:rsidRDefault="00C328C0" w:rsidP="006412D0">
      <w:pPr>
        <w:pStyle w:val="SR"/>
      </w:pPr>
      <w:r>
        <w:t>L</w:t>
      </w:r>
      <w:r w:rsidR="006412D0">
        <w:t>abor standards</w:t>
      </w:r>
      <w:r w:rsidR="001741BD">
        <w:t xml:space="preserve"> hurt poor countries by</w:t>
      </w:r>
      <w:r w:rsidR="006412D0">
        <w:t xml:space="preserve"> rais</w:t>
      </w:r>
      <w:r w:rsidR="001741BD">
        <w:t>ing</w:t>
      </w:r>
      <w:r w:rsidR="006412D0">
        <w:t xml:space="preserve"> the cost for companies</w:t>
      </w:r>
      <w:r w:rsidR="001741BD">
        <w:t>,</w:t>
      </w:r>
      <w:r w:rsidR="006412D0">
        <w:t xml:space="preserve"> which </w:t>
      </w:r>
      <w:r w:rsidR="00FB0E1B">
        <w:t>“</w:t>
      </w:r>
      <w:proofErr w:type="gramStart"/>
      <w:r w:rsidR="00FB0E1B">
        <w:t>push[</w:t>
      </w:r>
      <w:proofErr w:type="gramEnd"/>
      <w:r w:rsidR="00FB0E1B">
        <w:t>es] companies to…better-off nations like Malaysia, rather than…poorer countries like Ghana or Cambodia</w:t>
      </w:r>
      <w:r w:rsidR="006412D0">
        <w:t>.</w:t>
      </w:r>
      <w:r w:rsidR="00FB0E1B">
        <w:t>”</w:t>
      </w:r>
    </w:p>
    <w:p w:rsidR="00D87492" w:rsidRDefault="001741BD" w:rsidP="00265DEE">
      <w:pPr>
        <w:pStyle w:val="Q"/>
      </w:pPr>
      <w:r>
        <w:t>What evidence does the author use in paragraph 13 to support this claim?</w:t>
      </w:r>
    </w:p>
    <w:p w:rsidR="0097337D" w:rsidRDefault="00C038F8" w:rsidP="00781C3D">
      <w:pPr>
        <w:pStyle w:val="SR"/>
      </w:pPr>
      <w:r>
        <w:t>The author c</w:t>
      </w:r>
      <w:r w:rsidR="00871876">
        <w:t xml:space="preserve">ites </w:t>
      </w:r>
      <w:r w:rsidR="00B51E43">
        <w:t>Cambodia</w:t>
      </w:r>
      <w:r w:rsidR="00FC208F">
        <w:t>,</w:t>
      </w:r>
      <w:r w:rsidR="00871876">
        <w:t xml:space="preserve"> which </w:t>
      </w:r>
      <w:r w:rsidR="003D3E58">
        <w:t>has improved its labor standards,</w:t>
      </w:r>
      <w:r w:rsidR="00B51E43">
        <w:t xml:space="preserve"> </w:t>
      </w:r>
      <w:r w:rsidR="00871876">
        <w:t>“so</w:t>
      </w:r>
      <w:r w:rsidR="00C328C0">
        <w:t xml:space="preserve"> </w:t>
      </w:r>
      <w:r w:rsidR="00B51E43">
        <w:t xml:space="preserve">some factories </w:t>
      </w:r>
      <w:r w:rsidR="00871876">
        <w:t xml:space="preserve">have closed” </w:t>
      </w:r>
      <w:r w:rsidR="000519E8">
        <w:t xml:space="preserve">because of </w:t>
      </w:r>
      <w:r w:rsidR="00871876">
        <w:t xml:space="preserve">these </w:t>
      </w:r>
      <w:r w:rsidR="000519E8">
        <w:t>increased cost</w:t>
      </w:r>
      <w:r w:rsidR="00871876">
        <w:t xml:space="preserve">s. This </w:t>
      </w:r>
      <w:r w:rsidR="004A58E0">
        <w:t xml:space="preserve">evidence </w:t>
      </w:r>
      <w:r w:rsidR="00871876">
        <w:t xml:space="preserve">supports </w:t>
      </w:r>
      <w:r w:rsidR="004A58E0">
        <w:t xml:space="preserve">the claim that labor standards </w:t>
      </w:r>
      <w:r w:rsidR="00871876">
        <w:t xml:space="preserve">actually </w:t>
      </w:r>
      <w:r w:rsidR="00B06997">
        <w:t xml:space="preserve">end up hurting </w:t>
      </w:r>
      <w:r w:rsidR="00B9293D">
        <w:t>workers in poor countries</w:t>
      </w:r>
      <w:r w:rsidR="004A58E0">
        <w:t>.</w:t>
      </w:r>
    </w:p>
    <w:p w:rsidR="00F268CC" w:rsidRDefault="00F268CC" w:rsidP="00F268CC">
      <w:pPr>
        <w:pStyle w:val="IN"/>
      </w:pPr>
      <w:r>
        <w:rPr>
          <w:b/>
        </w:rPr>
        <w:t xml:space="preserve">Differentiation Consideration: </w:t>
      </w:r>
      <w:r>
        <w:t xml:space="preserve">To </w:t>
      </w:r>
      <w:r w:rsidR="00B37ABB">
        <w:t xml:space="preserve">support comprehension and </w:t>
      </w:r>
      <w:r>
        <w:t>encourage continued cross-textual analysis, consider</w:t>
      </w:r>
      <w:r w:rsidR="00B37ABB">
        <w:t xml:space="preserve"> asking students to connect “Where Sweatshops Are a Dream” to </w:t>
      </w:r>
      <w:r w:rsidR="00B37ABB">
        <w:rPr>
          <w:i/>
        </w:rPr>
        <w:t>Sugar Changed the World</w:t>
      </w:r>
      <w:r>
        <w:t>:</w:t>
      </w:r>
    </w:p>
    <w:p w:rsidR="00B37ABB" w:rsidRPr="0054606F" w:rsidRDefault="00B37ABB" w:rsidP="0054606F">
      <w:pPr>
        <w:pStyle w:val="TA"/>
        <w:ind w:left="360"/>
        <w:rPr>
          <w:color w:val="4F81BD" w:themeColor="accent1"/>
        </w:rPr>
      </w:pPr>
      <w:r w:rsidRPr="0054606F">
        <w:rPr>
          <w:color w:val="4F81BD" w:themeColor="accent1"/>
        </w:rPr>
        <w:t>Ask stud</w:t>
      </w:r>
      <w:r w:rsidR="0054606F" w:rsidRPr="0054606F">
        <w:rPr>
          <w:color w:val="4F81BD" w:themeColor="accent1"/>
        </w:rPr>
        <w:t>ents to recall the reading from</w:t>
      </w:r>
      <w:r w:rsidRPr="0054606F">
        <w:rPr>
          <w:color w:val="4F81BD" w:themeColor="accent1"/>
        </w:rPr>
        <w:t xml:space="preserve"> Lesson 18</w:t>
      </w:r>
      <w:r w:rsidR="0054606F" w:rsidRPr="0054606F">
        <w:rPr>
          <w:color w:val="4F81BD" w:themeColor="accent1"/>
        </w:rPr>
        <w:t>’s</w:t>
      </w:r>
      <w:r w:rsidRPr="0054606F">
        <w:rPr>
          <w:color w:val="4F81BD" w:themeColor="accent1"/>
        </w:rPr>
        <w:t xml:space="preserve"> homework. Direct students to page 104 of </w:t>
      </w:r>
      <w:r w:rsidRPr="0054606F">
        <w:rPr>
          <w:i/>
          <w:color w:val="4F81BD" w:themeColor="accent1"/>
        </w:rPr>
        <w:t>Sugar Changed the World</w:t>
      </w:r>
      <w:r w:rsidRPr="0054606F">
        <w:rPr>
          <w:color w:val="4F81BD" w:themeColor="accent1"/>
        </w:rPr>
        <w:t xml:space="preserve">, which details the reasons people from </w:t>
      </w:r>
      <w:proofErr w:type="gramStart"/>
      <w:r w:rsidRPr="0054606F">
        <w:rPr>
          <w:color w:val="4F81BD" w:themeColor="accent1"/>
        </w:rPr>
        <w:t>India</w:t>
      </w:r>
      <w:proofErr w:type="gramEnd"/>
      <w:r w:rsidRPr="0054606F">
        <w:rPr>
          <w:color w:val="4F81BD" w:themeColor="accent1"/>
        </w:rPr>
        <w:t xml:space="preserve"> went to work on the sugar plantations. </w:t>
      </w:r>
    </w:p>
    <w:p w:rsidR="00B37ABB" w:rsidRPr="0054606F" w:rsidRDefault="00B37ABB" w:rsidP="0054606F">
      <w:pPr>
        <w:pStyle w:val="TA"/>
        <w:ind w:left="360"/>
        <w:rPr>
          <w:color w:val="4F81BD" w:themeColor="accent1"/>
        </w:rPr>
      </w:pPr>
      <w:r w:rsidRPr="0054606F">
        <w:rPr>
          <w:color w:val="4F81BD" w:themeColor="accent1"/>
        </w:rPr>
        <w:t xml:space="preserve">Provide students with the following definitions: </w:t>
      </w:r>
      <w:r w:rsidRPr="0054606F">
        <w:rPr>
          <w:i/>
          <w:color w:val="4F81BD" w:themeColor="accent1"/>
        </w:rPr>
        <w:t>protectionist</w:t>
      </w:r>
      <w:r w:rsidRPr="0054606F">
        <w:rPr>
          <w:color w:val="4F81BD" w:themeColor="accent1"/>
        </w:rPr>
        <w:t xml:space="preserve"> means “the theory, practice, or system of fostering or developing domestic industries by protecting them from foreign competition through duties or quotas imposed on importations” and </w:t>
      </w:r>
      <w:r w:rsidRPr="0054606F">
        <w:rPr>
          <w:i/>
          <w:color w:val="4F81BD" w:themeColor="accent1"/>
        </w:rPr>
        <w:t>distress</w:t>
      </w:r>
      <w:r w:rsidRPr="0054606F">
        <w:rPr>
          <w:color w:val="4F81BD" w:themeColor="accent1"/>
        </w:rPr>
        <w:t xml:space="preserve"> means “pain or hardship.” </w:t>
      </w:r>
    </w:p>
    <w:p w:rsidR="00B37ABB" w:rsidRPr="0054606F" w:rsidRDefault="00B37ABB" w:rsidP="0054606F">
      <w:pPr>
        <w:pStyle w:val="SA"/>
        <w:numPr>
          <w:ilvl w:val="0"/>
          <w:numId w:val="33"/>
        </w:numPr>
        <w:ind w:left="1080"/>
        <w:rPr>
          <w:color w:val="4F81BD" w:themeColor="accent1"/>
        </w:rPr>
      </w:pPr>
      <w:r w:rsidRPr="0054606F">
        <w:rPr>
          <w:color w:val="4F81BD" w:themeColor="accent1"/>
        </w:rPr>
        <w:t xml:space="preserve">Students write the definitions of </w:t>
      </w:r>
      <w:r w:rsidRPr="0054606F">
        <w:rPr>
          <w:i/>
          <w:color w:val="4F81BD" w:themeColor="accent1"/>
        </w:rPr>
        <w:t>protectionist</w:t>
      </w:r>
      <w:r w:rsidRPr="0054606F">
        <w:rPr>
          <w:color w:val="4F81BD" w:themeColor="accent1"/>
        </w:rPr>
        <w:t xml:space="preserve"> and </w:t>
      </w:r>
      <w:r w:rsidRPr="0054606F">
        <w:rPr>
          <w:i/>
          <w:color w:val="4F81BD" w:themeColor="accent1"/>
        </w:rPr>
        <w:t>distress</w:t>
      </w:r>
      <w:r w:rsidRPr="0054606F">
        <w:rPr>
          <w:color w:val="4F81BD" w:themeColor="accent1"/>
        </w:rPr>
        <w:t xml:space="preserve"> on their copy of the text or in a vocabulary notebook.</w:t>
      </w:r>
    </w:p>
    <w:p w:rsidR="00F268CC" w:rsidRPr="0054606F" w:rsidRDefault="00F268CC" w:rsidP="0054606F">
      <w:pPr>
        <w:pStyle w:val="Q"/>
        <w:ind w:left="360"/>
        <w:rPr>
          <w:color w:val="4F81BD" w:themeColor="accent1"/>
        </w:rPr>
      </w:pPr>
      <w:r w:rsidRPr="0054606F">
        <w:rPr>
          <w:color w:val="4F81BD" w:themeColor="accent1"/>
        </w:rPr>
        <w:t xml:space="preserve">How do the author’s claims in “Where Sweatshops Are a Dream” connect to the evidence on page 104 of </w:t>
      </w:r>
      <w:r w:rsidRPr="0054606F">
        <w:rPr>
          <w:i/>
          <w:color w:val="4F81BD" w:themeColor="accent1"/>
        </w:rPr>
        <w:t>Sugar Changed the World</w:t>
      </w:r>
      <w:r w:rsidRPr="0054606F">
        <w:rPr>
          <w:color w:val="4F81BD" w:themeColor="accent1"/>
        </w:rPr>
        <w:t>?</w:t>
      </w:r>
    </w:p>
    <w:p w:rsidR="00F268CC" w:rsidRPr="0054606F" w:rsidRDefault="00F268CC" w:rsidP="0054606F">
      <w:pPr>
        <w:pStyle w:val="SR"/>
        <w:numPr>
          <w:ilvl w:val="0"/>
          <w:numId w:val="32"/>
        </w:numPr>
        <w:ind w:left="1080"/>
        <w:rPr>
          <w:color w:val="4F81BD" w:themeColor="accent1"/>
        </w:rPr>
      </w:pPr>
      <w:r w:rsidRPr="0054606F">
        <w:rPr>
          <w:color w:val="4F81BD" w:themeColor="accent1"/>
        </w:rPr>
        <w:t xml:space="preserve">In “Where Sweatshops Are a Dream,” the author writes that people may choose to work in sweatshops voluntarily when the other options available are worse. This is similar to the evidence on p. 104 from </w:t>
      </w:r>
      <w:r w:rsidRPr="0054606F">
        <w:rPr>
          <w:i/>
          <w:color w:val="4F81BD" w:themeColor="accent1"/>
        </w:rPr>
        <w:t>Sugar Changed the World</w:t>
      </w:r>
      <w:r w:rsidRPr="0054606F">
        <w:rPr>
          <w:color w:val="4F81BD" w:themeColor="accent1"/>
        </w:rPr>
        <w:t xml:space="preserve">: Some Indians found the dangerous voyage and work on sugar plantations a better alternative to the “widespread poverty,” famine, and droughts in India. </w:t>
      </w:r>
    </w:p>
    <w:p w:rsidR="00707670" w:rsidRDefault="00707670" w:rsidP="00B41A95">
      <w:pPr>
        <w:pStyle w:val="LearningSequenceHeader"/>
        <w:keepNext/>
      </w:pPr>
      <w:r>
        <w:t xml:space="preserve">Activity </w:t>
      </w:r>
      <w:r w:rsidR="00336101">
        <w:t>5</w:t>
      </w:r>
      <w:r w:rsidR="00457F5C">
        <w:t xml:space="preserve">: </w:t>
      </w:r>
      <w:r w:rsidR="00277421">
        <w:t>Evaluating Argument</w:t>
      </w:r>
      <w:r w:rsidR="00E063AC">
        <w:t xml:space="preserve"> and Evidence</w:t>
      </w:r>
      <w:r w:rsidR="00457F5C">
        <w:t xml:space="preserve"> Tool</w:t>
      </w:r>
      <w:r w:rsidR="0090189F">
        <w:t xml:space="preserve"> and Assessment</w:t>
      </w:r>
      <w:r w:rsidR="00457F5C">
        <w:tab/>
      </w:r>
      <w:r w:rsidR="00B15CE6">
        <w:t>15</w:t>
      </w:r>
      <w:r w:rsidRPr="00707670">
        <w:t>%</w:t>
      </w:r>
    </w:p>
    <w:p w:rsidR="0065050A" w:rsidRPr="00290317" w:rsidRDefault="0065050A" w:rsidP="00BB70D1">
      <w:pPr>
        <w:pStyle w:val="TA"/>
      </w:pPr>
      <w:r>
        <w:t>Inst</w:t>
      </w:r>
      <w:r w:rsidR="00BB70D1">
        <w:t>ruct student groups</w:t>
      </w:r>
      <w:r>
        <w:t xml:space="preserve"> to </w:t>
      </w:r>
      <w:r w:rsidR="00855174">
        <w:t xml:space="preserve">finish </w:t>
      </w:r>
      <w:r>
        <w:t xml:space="preserve">their </w:t>
      </w:r>
      <w:r w:rsidR="00265DEE">
        <w:t>Evaluating Argument</w:t>
      </w:r>
      <w:r w:rsidR="00E063AC">
        <w:t xml:space="preserve"> and Evidence Tool</w:t>
      </w:r>
      <w:r w:rsidR="00855174">
        <w:t>, which will be used as the lesson assessment</w:t>
      </w:r>
      <w:r w:rsidR="00B87C61">
        <w:t>.</w:t>
      </w:r>
      <w:r w:rsidR="00FA5AC3">
        <w:t xml:space="preserve"> </w:t>
      </w:r>
      <w:r w:rsidR="00855174">
        <w:t xml:space="preserve">Remind </w:t>
      </w:r>
      <w:r w:rsidR="004C0503">
        <w:t xml:space="preserve">students that this activity will </w:t>
      </w:r>
      <w:r w:rsidR="001301C8">
        <w:t xml:space="preserve">help prepare them for the </w:t>
      </w:r>
      <w:r w:rsidR="00DD672E">
        <w:t>End-of-</w:t>
      </w:r>
      <w:r w:rsidR="004C0503">
        <w:t xml:space="preserve">Unit </w:t>
      </w:r>
      <w:r w:rsidR="00FA5AC3">
        <w:t>A</w:t>
      </w:r>
      <w:r w:rsidR="004C0503">
        <w:t xml:space="preserve">ssessment question: </w:t>
      </w:r>
      <w:r w:rsidR="00B9293D" w:rsidRPr="00DD672E">
        <w:t xml:space="preserve">Who bears the most responsibility for ensuring goods </w:t>
      </w:r>
      <w:proofErr w:type="gramStart"/>
      <w:r w:rsidR="00B9293D" w:rsidRPr="00DD672E">
        <w:t>are</w:t>
      </w:r>
      <w:proofErr w:type="gramEnd"/>
      <w:r w:rsidR="00B9293D" w:rsidRPr="00DD672E">
        <w:t xml:space="preserve"> ethically produced? </w:t>
      </w:r>
    </w:p>
    <w:p w:rsidR="0065050A" w:rsidRDefault="0065050A" w:rsidP="0065050A">
      <w:pPr>
        <w:pStyle w:val="SA"/>
      </w:pPr>
      <w:r>
        <w:t xml:space="preserve">Students follow along </w:t>
      </w:r>
      <w:r w:rsidR="00DD672E">
        <w:t xml:space="preserve">and complete the </w:t>
      </w:r>
      <w:r w:rsidR="00A170B3">
        <w:t>Evaluating</w:t>
      </w:r>
      <w:r w:rsidR="00DD672E">
        <w:t xml:space="preserve"> </w:t>
      </w:r>
      <w:r>
        <w:t xml:space="preserve">Argument </w:t>
      </w:r>
      <w:r w:rsidR="00DD672E">
        <w:t xml:space="preserve">and Evidence </w:t>
      </w:r>
      <w:r>
        <w:t>Tool for assessment.</w:t>
      </w:r>
    </w:p>
    <w:p w:rsidR="00B37ABB" w:rsidRDefault="00B37ABB" w:rsidP="00B37ABB">
      <w:pPr>
        <w:pStyle w:val="IN"/>
        <w:numPr>
          <w:ilvl w:val="0"/>
          <w:numId w:val="3"/>
        </w:numPr>
        <w:ind w:left="360"/>
      </w:pPr>
      <w:r>
        <w:t xml:space="preserve">Ensure that students consider the author’s use of personal experience in their evaluation of the evidence he uses to support his claim. </w:t>
      </w:r>
    </w:p>
    <w:p w:rsidR="007A7D2F" w:rsidRDefault="007A7D2F" w:rsidP="007A7D2F">
      <w:pPr>
        <w:pStyle w:val="IN"/>
      </w:pPr>
      <w:r>
        <w:t>The Evaluating Argument and Evidence Tool serves as the assessment for this lesson.</w:t>
      </w:r>
    </w:p>
    <w:p w:rsidR="007A7D2F" w:rsidRDefault="007A7D2F" w:rsidP="007A7D2F">
      <w:pPr>
        <w:pStyle w:val="IN"/>
        <w:numPr>
          <w:ilvl w:val="0"/>
          <w:numId w:val="3"/>
        </w:numPr>
        <w:ind w:left="360"/>
      </w:pPr>
      <w:r>
        <w:t xml:space="preserve">Students will need their completed tools for reference in Lesson 24. </w:t>
      </w:r>
    </w:p>
    <w:p w:rsidR="00707670" w:rsidRDefault="00707670" w:rsidP="00707670">
      <w:pPr>
        <w:pStyle w:val="LearningSequenceHeader"/>
      </w:pPr>
      <w:r>
        <w:t xml:space="preserve">Activity </w:t>
      </w:r>
      <w:r w:rsidR="00336101">
        <w:t>6</w:t>
      </w:r>
      <w:r w:rsidR="00457F5C">
        <w:t>: Closing</w:t>
      </w:r>
      <w:r w:rsidR="00457F5C">
        <w:tab/>
        <w:t>5</w:t>
      </w:r>
      <w:r w:rsidRPr="00707670">
        <w:t>%</w:t>
      </w:r>
    </w:p>
    <w:p w:rsidR="00E657E3" w:rsidRPr="00BB70D1" w:rsidRDefault="0065050A" w:rsidP="00BB70D1">
      <w:pPr>
        <w:pStyle w:val="TA"/>
      </w:pPr>
      <w:r w:rsidRPr="00BB70D1">
        <w:t xml:space="preserve">Display and distribute the homework assignment. For homework, </w:t>
      </w:r>
      <w:r w:rsidR="004A5CFA" w:rsidRPr="00BB70D1">
        <w:t xml:space="preserve">instruct </w:t>
      </w:r>
      <w:r w:rsidRPr="00BB70D1">
        <w:t xml:space="preserve">students </w:t>
      </w:r>
      <w:r w:rsidR="004A5CFA" w:rsidRPr="00BB70D1">
        <w:t xml:space="preserve">to </w:t>
      </w:r>
      <w:r w:rsidR="00277421" w:rsidRPr="00BB70D1">
        <w:t>read pp. 108</w:t>
      </w:r>
      <w:r w:rsidR="00A170B3" w:rsidRPr="00BB70D1">
        <w:t>–</w:t>
      </w:r>
      <w:r w:rsidR="00277421" w:rsidRPr="00BB70D1">
        <w:t>114 (“Slavery or Freedom? The In-Between</w:t>
      </w:r>
      <w:r w:rsidR="00A170B3" w:rsidRPr="00BB70D1">
        <w:t>,</w:t>
      </w:r>
      <w:r w:rsidR="00277421" w:rsidRPr="00BB70D1">
        <w:t>” “Reform</w:t>
      </w:r>
      <w:r w:rsidR="00A170B3" w:rsidRPr="00BB70D1">
        <w:t>,</w:t>
      </w:r>
      <w:r w:rsidR="00277421" w:rsidRPr="00BB70D1">
        <w:t xml:space="preserve">” and “Sugar and Science”) of </w:t>
      </w:r>
      <w:r w:rsidR="00277421" w:rsidRPr="00BB70D1">
        <w:rPr>
          <w:i/>
        </w:rPr>
        <w:t xml:space="preserve">Sugar Changed the World </w:t>
      </w:r>
      <w:r w:rsidR="00277421" w:rsidRPr="00BB70D1">
        <w:t xml:space="preserve">and answer the </w:t>
      </w:r>
      <w:r w:rsidR="00DD672E" w:rsidRPr="00BB70D1">
        <w:t xml:space="preserve">following </w:t>
      </w:r>
      <w:r w:rsidR="00277421" w:rsidRPr="00BB70D1">
        <w:t>homework question p</w:t>
      </w:r>
      <w:r w:rsidR="008A1B2A" w:rsidRPr="00BB70D1">
        <w:t>rompts</w:t>
      </w:r>
      <w:r w:rsidR="00E657E3" w:rsidRPr="00BB70D1">
        <w:t xml:space="preserve">. Ask students to use this lesson’s vocabulary wherever possible in their written responses. </w:t>
      </w:r>
    </w:p>
    <w:p w:rsidR="008A1B2A" w:rsidRPr="001D5A44" w:rsidRDefault="008A1B2A" w:rsidP="00BB70D1">
      <w:pPr>
        <w:pStyle w:val="Q"/>
      </w:pPr>
      <w:r w:rsidRPr="00BB70D1">
        <w:rPr>
          <w:rFonts w:eastAsia="Calibri"/>
        </w:rPr>
        <w:t xml:space="preserve">What comparisons do the authors draw between slaves and indentured workers? </w:t>
      </w:r>
    </w:p>
    <w:p w:rsidR="008A1B2A" w:rsidRDefault="00841078" w:rsidP="00BB70D1">
      <w:pPr>
        <w:pStyle w:val="Q"/>
      </w:pPr>
      <w:r>
        <w:t>What connections</w:t>
      </w:r>
      <w:r w:rsidR="003C6FD2">
        <w:t xml:space="preserve"> exist between the </w:t>
      </w:r>
      <w:r w:rsidR="008A1B2A">
        <w:t>Indian workers</w:t>
      </w:r>
      <w:r w:rsidR="00B411C6">
        <w:t>’ situations</w:t>
      </w:r>
      <w:r w:rsidR="008A1B2A">
        <w:t xml:space="preserve"> </w:t>
      </w:r>
      <w:r w:rsidR="003C6FD2">
        <w:t xml:space="preserve">and </w:t>
      </w:r>
      <w:r w:rsidR="008A1B2A">
        <w:t xml:space="preserve">Kristof’s </w:t>
      </w:r>
      <w:r w:rsidR="00B411C6">
        <w:t xml:space="preserve">central claim in </w:t>
      </w:r>
      <w:r w:rsidR="008A1B2A">
        <w:t>“Where Sweatshops Are a Dream”?</w:t>
      </w:r>
    </w:p>
    <w:p w:rsidR="008A1B2A" w:rsidRDefault="008A1B2A" w:rsidP="00BB70D1">
      <w:pPr>
        <w:pStyle w:val="Q"/>
      </w:pPr>
      <w:r>
        <w:t>What reasons do the authors give on p.</w:t>
      </w:r>
      <w:r w:rsidR="00A170B3">
        <w:t xml:space="preserve"> </w:t>
      </w:r>
      <w:r>
        <w:t xml:space="preserve">113 for the end of the </w:t>
      </w:r>
      <w:r w:rsidR="00012948">
        <w:t>“</w:t>
      </w:r>
      <w:r>
        <w:t>Age of Sugar?</w:t>
      </w:r>
      <w:r w:rsidR="00012948">
        <w:t>”</w:t>
      </w:r>
      <w:r>
        <w:t xml:space="preserve"> How does this refine your understanding of w</w:t>
      </w:r>
      <w:r w:rsidR="00824124">
        <w:t xml:space="preserve">hat the </w:t>
      </w:r>
      <w:r w:rsidR="00012948">
        <w:t>“</w:t>
      </w:r>
      <w:r w:rsidR="00824124">
        <w:t>Age of Sugar</w:t>
      </w:r>
      <w:r w:rsidR="00012948">
        <w:t>”</w:t>
      </w:r>
      <w:r w:rsidR="00824124">
        <w:t xml:space="preserve"> represents</w:t>
      </w:r>
      <w:r>
        <w:t xml:space="preserve"> for the authors? (Refer to page 70 to compare how the idea is discussed earlier in the text.)</w:t>
      </w:r>
    </w:p>
    <w:p w:rsidR="008A1B2A" w:rsidRDefault="008A1B2A" w:rsidP="00BB70D1">
      <w:pPr>
        <w:pStyle w:val="Q"/>
      </w:pPr>
      <w:r>
        <w:t>How did Napoleon find a way out of the “sugar trap”? What innovation was crucial to his success?</w:t>
      </w:r>
    </w:p>
    <w:p w:rsidR="0065050A" w:rsidRDefault="0065050A" w:rsidP="0065050A">
      <w:pPr>
        <w:pStyle w:val="SA"/>
      </w:pPr>
      <w:r>
        <w:t>Students follow along.</w:t>
      </w:r>
    </w:p>
    <w:p w:rsidR="00C4787C" w:rsidRDefault="00C4787C" w:rsidP="00B41A95">
      <w:pPr>
        <w:pStyle w:val="Heading1"/>
      </w:pPr>
      <w:r>
        <w:t>Homework</w:t>
      </w:r>
    </w:p>
    <w:p w:rsidR="00BB70D1" w:rsidRDefault="00277421" w:rsidP="00B41A95">
      <w:pPr>
        <w:keepNext/>
        <w:spacing w:before="0" w:after="0" w:line="240" w:lineRule="auto"/>
      </w:pPr>
      <w:r>
        <w:t>Read pp. 108</w:t>
      </w:r>
      <w:r w:rsidR="00675535">
        <w:t>–</w:t>
      </w:r>
      <w:r>
        <w:t xml:space="preserve">114 (“Slavery or Freedom? The In-Between” “Reform” and “Sugar and Science” of </w:t>
      </w:r>
      <w:r w:rsidRPr="00277421">
        <w:rPr>
          <w:i/>
        </w:rPr>
        <w:t>Sugar Changed the World</w:t>
      </w:r>
      <w:r w:rsidR="00BB70D1">
        <w:t>)</w:t>
      </w:r>
      <w:r>
        <w:rPr>
          <w:i/>
        </w:rPr>
        <w:t xml:space="preserve"> </w:t>
      </w:r>
      <w:r>
        <w:t xml:space="preserve">and answer the </w:t>
      </w:r>
      <w:r w:rsidR="00BB70D1">
        <w:t>following homework question prompts:</w:t>
      </w:r>
    </w:p>
    <w:p w:rsidR="00BB70D1" w:rsidRDefault="00BB70D1" w:rsidP="00B43704">
      <w:pPr>
        <w:spacing w:before="0" w:after="0" w:line="240" w:lineRule="auto"/>
      </w:pPr>
    </w:p>
    <w:p w:rsidR="00BB70D1" w:rsidRPr="00B41A95" w:rsidRDefault="00BB70D1" w:rsidP="00256B8B">
      <w:pPr>
        <w:pStyle w:val="Q"/>
      </w:pPr>
      <w:r w:rsidRPr="00B41A95">
        <w:t xml:space="preserve">What comparisons do the authors draw between slaves and indentured workers? </w:t>
      </w:r>
    </w:p>
    <w:p w:rsidR="00BB70D1" w:rsidRPr="00B41A95" w:rsidRDefault="00BB70D1" w:rsidP="00256B8B">
      <w:pPr>
        <w:pStyle w:val="Q"/>
      </w:pPr>
      <w:r w:rsidRPr="00B41A95">
        <w:t>What connections exist between the Indian workers’ situations and Kristof’s central claim in “Where Sweatshops Are a Dream”?</w:t>
      </w:r>
    </w:p>
    <w:p w:rsidR="00BB70D1" w:rsidRPr="00B41A95" w:rsidRDefault="00BB70D1" w:rsidP="00256B8B">
      <w:pPr>
        <w:pStyle w:val="Q"/>
      </w:pPr>
      <w:r w:rsidRPr="00B41A95">
        <w:t xml:space="preserve">What reasons do the authors give on p. 113 for the end of the </w:t>
      </w:r>
      <w:r w:rsidR="00012948">
        <w:t>“</w:t>
      </w:r>
      <w:r w:rsidRPr="00B41A95">
        <w:t>Age of Sugar?</w:t>
      </w:r>
      <w:r w:rsidR="00012948">
        <w:t>”</w:t>
      </w:r>
      <w:r w:rsidRPr="00B41A95">
        <w:t xml:space="preserve"> How does this refine your understanding of what the</w:t>
      </w:r>
      <w:r w:rsidR="00012948">
        <w:t>”</w:t>
      </w:r>
      <w:r w:rsidRPr="00B41A95">
        <w:t xml:space="preserve"> Age of Sugar</w:t>
      </w:r>
      <w:r w:rsidR="00012948">
        <w:t>”</w:t>
      </w:r>
      <w:r w:rsidRPr="00B41A95">
        <w:t xml:space="preserve"> represents for the authors? (Refer to page 70 to compare how the idea is discussed earlier in the text.)</w:t>
      </w:r>
    </w:p>
    <w:p w:rsidR="00BB70D1" w:rsidRPr="00B41A95" w:rsidRDefault="00BB70D1" w:rsidP="00256B8B">
      <w:pPr>
        <w:pStyle w:val="Q"/>
      </w:pPr>
      <w:r w:rsidRPr="00B41A95">
        <w:t>How did Napoleon find a way out of the “sugar trap”? What innovation was crucial to his success?</w:t>
      </w:r>
    </w:p>
    <w:p w:rsidR="00BB70D1" w:rsidRPr="00B41A95" w:rsidRDefault="00BB70D1" w:rsidP="00B41A95"/>
    <w:p w:rsidR="008F4E93" w:rsidRPr="001C5C72" w:rsidRDefault="008F4E93" w:rsidP="001C5C72">
      <w:r w:rsidRPr="001C5C72">
        <w:br w:type="page"/>
      </w:r>
    </w:p>
    <w:p w:rsidR="00E063AC" w:rsidRPr="00646E43" w:rsidRDefault="00E063AC" w:rsidP="00646E43">
      <w:pPr>
        <w:pStyle w:val="ToolHeader"/>
      </w:pPr>
      <w:bookmarkStart w:id="1" w:name="_GoBack"/>
      <w:bookmarkEnd w:id="1"/>
      <w:r w:rsidRPr="00646E43">
        <w:t>Model Evaluating Argument and Evidence Tool</w:t>
      </w:r>
    </w:p>
    <w:tbl>
      <w:tblPr>
        <w:tblStyle w:val="TableGrid"/>
        <w:tblW w:w="5000" w:type="pct"/>
        <w:tblLook w:val="04A0"/>
      </w:tblPr>
      <w:tblGrid>
        <w:gridCol w:w="915"/>
        <w:gridCol w:w="1337"/>
        <w:gridCol w:w="643"/>
        <w:gridCol w:w="732"/>
        <w:gridCol w:w="2537"/>
        <w:gridCol w:w="719"/>
        <w:gridCol w:w="2693"/>
      </w:tblGrid>
      <w:tr w:rsidR="00E063AC" w:rsidRPr="00841078" w:rsidTr="00646E43">
        <w:trPr>
          <w:trHeight w:val="640"/>
        </w:trPr>
        <w:tc>
          <w:tcPr>
            <w:tcW w:w="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3AC" w:rsidRPr="00841078" w:rsidRDefault="00E063AC" w:rsidP="00841078">
            <w:pPr>
              <w:pStyle w:val="ToolTableText"/>
              <w:rPr>
                <w:b/>
              </w:rPr>
            </w:pPr>
            <w:r w:rsidRPr="00841078">
              <w:rPr>
                <w:b/>
              </w:rPr>
              <w:t>Name: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:rsidR="00E063AC" w:rsidRPr="00841078" w:rsidRDefault="00E063AC" w:rsidP="00841078">
            <w:pPr>
              <w:pStyle w:val="ToolTableText"/>
              <w:rPr>
                <w:b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3AC" w:rsidRPr="00841078" w:rsidRDefault="00E063AC" w:rsidP="00841078">
            <w:pPr>
              <w:pStyle w:val="ToolTableText"/>
              <w:rPr>
                <w:b/>
              </w:rPr>
            </w:pPr>
            <w:r w:rsidRPr="00841078">
              <w:rPr>
                <w:b/>
              </w:rPr>
              <w:t>Class: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063AC" w:rsidRPr="00841078" w:rsidRDefault="00E063AC" w:rsidP="00841078">
            <w:pPr>
              <w:pStyle w:val="ToolTableText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3AC" w:rsidRPr="00841078" w:rsidRDefault="00E063AC" w:rsidP="00841078">
            <w:pPr>
              <w:pStyle w:val="ToolTableText"/>
              <w:rPr>
                <w:b/>
              </w:rPr>
            </w:pPr>
            <w:r w:rsidRPr="00841078">
              <w:rPr>
                <w:b/>
              </w:rPr>
              <w:t>Date: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063AC" w:rsidRPr="00841078" w:rsidRDefault="00E063AC" w:rsidP="00841078">
            <w:pPr>
              <w:pStyle w:val="ToolTableText"/>
              <w:rPr>
                <w:b/>
              </w:rPr>
            </w:pPr>
          </w:p>
        </w:tc>
      </w:tr>
      <w:tr w:rsidR="00E063AC" w:rsidRPr="00707670" w:rsidTr="003208CF">
        <w:tc>
          <w:tcPr>
            <w:tcW w:w="1055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63AC" w:rsidRPr="00256B8B" w:rsidRDefault="00E063AC" w:rsidP="00646E43">
            <w:pPr>
              <w:pStyle w:val="TableText"/>
              <w:spacing w:before="0" w:after="0"/>
              <w:rPr>
                <w:b/>
                <w:sz w:val="6"/>
                <w:szCs w:val="6"/>
              </w:rPr>
            </w:pPr>
          </w:p>
        </w:tc>
      </w:tr>
      <w:tr w:rsidR="00E063AC" w:rsidRPr="00707670" w:rsidTr="003208CF"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E063AC" w:rsidRPr="00841078" w:rsidRDefault="00E063AC" w:rsidP="00841078">
            <w:pPr>
              <w:pStyle w:val="ToolTableText"/>
              <w:rPr>
                <w:b/>
              </w:rPr>
            </w:pPr>
            <w:r w:rsidRPr="00841078">
              <w:rPr>
                <w:b/>
              </w:rPr>
              <w:t>Question</w:t>
            </w:r>
          </w:p>
        </w:tc>
        <w:tc>
          <w:tcPr>
            <w:tcW w:w="8123" w:type="dxa"/>
            <w:gridSpan w:val="5"/>
            <w:shd w:val="clear" w:color="auto" w:fill="auto"/>
            <w:vAlign w:val="center"/>
          </w:tcPr>
          <w:p w:rsidR="00E063AC" w:rsidRPr="00B9293D" w:rsidRDefault="00B9293D" w:rsidP="00841078">
            <w:pPr>
              <w:pStyle w:val="ToolTableText"/>
            </w:pPr>
            <w:r w:rsidRPr="00B9293D">
              <w:rPr>
                <w:iCs/>
              </w:rPr>
              <w:t>Who bears the most respon</w:t>
            </w:r>
            <w:r w:rsidR="00704820">
              <w:rPr>
                <w:iCs/>
              </w:rPr>
              <w:t xml:space="preserve">sibility for ensuring goods </w:t>
            </w:r>
            <w:proofErr w:type="gramStart"/>
            <w:r w:rsidR="00704820">
              <w:rPr>
                <w:iCs/>
              </w:rPr>
              <w:t>are</w:t>
            </w:r>
            <w:proofErr w:type="gramEnd"/>
            <w:r w:rsidR="006B172E">
              <w:rPr>
                <w:iCs/>
              </w:rPr>
              <w:t xml:space="preserve"> </w:t>
            </w:r>
            <w:r w:rsidRPr="00B9293D">
              <w:rPr>
                <w:iCs/>
              </w:rPr>
              <w:t>ethically produced? </w:t>
            </w:r>
          </w:p>
        </w:tc>
      </w:tr>
      <w:tr w:rsidR="00E063AC" w:rsidRPr="00707670" w:rsidTr="003208CF"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E063AC" w:rsidRPr="00841078" w:rsidRDefault="00E063AC" w:rsidP="00841078">
            <w:pPr>
              <w:pStyle w:val="ToolTableText"/>
              <w:rPr>
                <w:b/>
              </w:rPr>
            </w:pPr>
            <w:r w:rsidRPr="00841078">
              <w:rPr>
                <w:b/>
              </w:rPr>
              <w:t>Text</w:t>
            </w:r>
          </w:p>
        </w:tc>
        <w:tc>
          <w:tcPr>
            <w:tcW w:w="8123" w:type="dxa"/>
            <w:gridSpan w:val="5"/>
            <w:shd w:val="clear" w:color="auto" w:fill="auto"/>
            <w:vAlign w:val="center"/>
          </w:tcPr>
          <w:p w:rsidR="00E063AC" w:rsidRPr="00707670" w:rsidRDefault="004C0503" w:rsidP="003B7219">
            <w:pPr>
              <w:pStyle w:val="ToolTableText"/>
            </w:pPr>
            <w:r>
              <w:t>“Where Sweatshops Are a Dream” by Nicholas Kristof</w:t>
            </w:r>
            <w:r w:rsidR="00104953">
              <w:t xml:space="preserve"> </w:t>
            </w:r>
          </w:p>
        </w:tc>
      </w:tr>
      <w:tr w:rsidR="00E063AC" w:rsidRPr="00707670" w:rsidTr="003208CF"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E063AC" w:rsidRPr="00841078" w:rsidRDefault="00E063AC" w:rsidP="00841078">
            <w:pPr>
              <w:pStyle w:val="ToolTableText"/>
              <w:rPr>
                <w:b/>
              </w:rPr>
            </w:pPr>
            <w:r w:rsidRPr="00841078">
              <w:rPr>
                <w:b/>
              </w:rPr>
              <w:t xml:space="preserve">Author’s Point of View </w:t>
            </w:r>
            <w:r w:rsidR="00265DEE" w:rsidRPr="00841078">
              <w:rPr>
                <w:b/>
              </w:rPr>
              <w:t>or Purpose</w:t>
            </w:r>
          </w:p>
        </w:tc>
        <w:tc>
          <w:tcPr>
            <w:tcW w:w="8123" w:type="dxa"/>
            <w:gridSpan w:val="5"/>
            <w:shd w:val="clear" w:color="auto" w:fill="auto"/>
            <w:vAlign w:val="center"/>
          </w:tcPr>
          <w:p w:rsidR="00E063AC" w:rsidRPr="003208CF" w:rsidRDefault="004C0503" w:rsidP="00841078">
            <w:pPr>
              <w:pStyle w:val="ToolTableText"/>
              <w:rPr>
                <w:spacing w:val="-4"/>
              </w:rPr>
            </w:pPr>
            <w:r w:rsidRPr="003208CF">
              <w:rPr>
                <w:spacing w:val="-4"/>
              </w:rPr>
              <w:t xml:space="preserve">The author has talked with </w:t>
            </w:r>
            <w:r w:rsidR="00B9293D" w:rsidRPr="003208CF">
              <w:rPr>
                <w:spacing w:val="-4"/>
              </w:rPr>
              <w:t>workers in poor countries</w:t>
            </w:r>
            <w:r w:rsidRPr="003208CF">
              <w:rPr>
                <w:spacing w:val="-4"/>
              </w:rPr>
              <w:t xml:space="preserve"> and wishes to show that sweatshops help </w:t>
            </w:r>
            <w:r w:rsidR="0097337D" w:rsidRPr="003208CF">
              <w:rPr>
                <w:spacing w:val="-4"/>
              </w:rPr>
              <w:t xml:space="preserve">workers </w:t>
            </w:r>
            <w:r w:rsidR="006B172E" w:rsidRPr="003208CF">
              <w:rPr>
                <w:spacing w:val="-4"/>
              </w:rPr>
              <w:t>by</w:t>
            </w:r>
            <w:r w:rsidR="00B9293D" w:rsidRPr="003208CF">
              <w:rPr>
                <w:spacing w:val="-4"/>
              </w:rPr>
              <w:t xml:space="preserve"> providing better jobs than </w:t>
            </w:r>
            <w:r w:rsidR="00F71D1A" w:rsidRPr="003208CF">
              <w:rPr>
                <w:spacing w:val="-4"/>
              </w:rPr>
              <w:t xml:space="preserve">others </w:t>
            </w:r>
            <w:r w:rsidRPr="003208CF">
              <w:rPr>
                <w:spacing w:val="-4"/>
              </w:rPr>
              <w:t>available to them.</w:t>
            </w:r>
          </w:p>
        </w:tc>
      </w:tr>
      <w:tr w:rsidR="00B06997" w:rsidRPr="00707670" w:rsidTr="003208CF"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997" w:rsidRPr="00841078" w:rsidRDefault="00B90E62" w:rsidP="00841078">
            <w:pPr>
              <w:pStyle w:val="ToolTableText"/>
              <w:rPr>
                <w:b/>
              </w:rPr>
            </w:pPr>
            <w:r w:rsidRPr="00841078">
              <w:rPr>
                <w:b/>
              </w:rPr>
              <w:t xml:space="preserve">Central </w:t>
            </w:r>
            <w:r w:rsidR="00B06997" w:rsidRPr="00841078">
              <w:rPr>
                <w:b/>
              </w:rPr>
              <w:t>Claim</w:t>
            </w:r>
          </w:p>
        </w:tc>
        <w:tc>
          <w:tcPr>
            <w:tcW w:w="81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997" w:rsidRDefault="00265DEE" w:rsidP="003208CF">
            <w:pPr>
              <w:pStyle w:val="ToolTableText"/>
            </w:pPr>
            <w:r w:rsidRPr="00B9293D">
              <w:t>Sweatshops often provide a better alternative to what’s available to workers in poor countries and can be a route out of poverty.</w:t>
            </w:r>
          </w:p>
        </w:tc>
      </w:tr>
    </w:tbl>
    <w:p w:rsidR="00E063AC" w:rsidRPr="003208CF" w:rsidRDefault="00E063AC" w:rsidP="003208CF">
      <w:pPr>
        <w:spacing w:before="0" w:after="0" w:line="240" w:lineRule="auto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0"/>
        <w:gridCol w:w="257"/>
        <w:gridCol w:w="2156"/>
        <w:gridCol w:w="258"/>
        <w:gridCol w:w="2119"/>
        <w:gridCol w:w="258"/>
        <w:gridCol w:w="2298"/>
      </w:tblGrid>
      <w:tr w:rsidR="00E063AC" w:rsidTr="00FF6601">
        <w:trPr>
          <w:trHeight w:val="432"/>
        </w:trPr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E063AC" w:rsidRPr="004607B5" w:rsidRDefault="00E063AC" w:rsidP="00A36BC8">
            <w:pPr>
              <w:spacing w:before="0" w:after="0" w:line="240" w:lineRule="auto"/>
              <w:ind w:left="30"/>
              <w:jc w:val="center"/>
              <w:rPr>
                <w:b/>
              </w:rPr>
            </w:pPr>
            <w:r w:rsidRPr="004607B5">
              <w:rPr>
                <w:b/>
              </w:rPr>
              <w:br w:type="page"/>
            </w:r>
            <w:r w:rsidR="00A36BC8">
              <w:rPr>
                <w:b/>
              </w:rPr>
              <w:t>Supporting Claim</w:t>
            </w:r>
            <w:r>
              <w:rPr>
                <w:b/>
              </w:rPr>
              <w:t xml:space="preserve"> </w:t>
            </w:r>
          </w:p>
        </w:tc>
        <w:tc>
          <w:tcPr>
            <w:tcW w:w="257" w:type="dxa"/>
            <w:vMerge w:val="restart"/>
            <w:tcBorders>
              <w:top w:val="nil"/>
            </w:tcBorders>
            <w:vAlign w:val="center"/>
          </w:tcPr>
          <w:p w:rsidR="00E063AC" w:rsidRPr="004607B5" w:rsidRDefault="00E063AC" w:rsidP="00DB6B12">
            <w:pPr>
              <w:spacing w:before="0" w:after="0" w:line="240" w:lineRule="auto"/>
              <w:ind w:left="30"/>
              <w:rPr>
                <w:b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E063AC" w:rsidRPr="004607B5" w:rsidRDefault="00E063AC" w:rsidP="00855174">
            <w:pPr>
              <w:spacing w:before="0" w:after="0" w:line="240" w:lineRule="auto"/>
              <w:ind w:left="30"/>
              <w:jc w:val="center"/>
              <w:rPr>
                <w:b/>
              </w:rPr>
            </w:pPr>
            <w:r w:rsidRPr="004607B5">
              <w:rPr>
                <w:b/>
              </w:rPr>
              <w:br w:type="page"/>
            </w:r>
            <w:r w:rsidR="00855174">
              <w:rPr>
                <w:b/>
              </w:rPr>
              <w:t>Supporting Claim</w:t>
            </w:r>
            <w:r>
              <w:rPr>
                <w:b/>
              </w:rPr>
              <w:t xml:space="preserve"> </w:t>
            </w:r>
          </w:p>
        </w:tc>
        <w:tc>
          <w:tcPr>
            <w:tcW w:w="258" w:type="dxa"/>
            <w:vMerge w:val="restart"/>
            <w:tcBorders>
              <w:top w:val="nil"/>
            </w:tcBorders>
            <w:vAlign w:val="center"/>
          </w:tcPr>
          <w:p w:rsidR="00E063AC" w:rsidRPr="004607B5" w:rsidRDefault="00E063AC" w:rsidP="00DB6B12">
            <w:pPr>
              <w:spacing w:before="0" w:after="0" w:line="240" w:lineRule="auto"/>
              <w:ind w:left="30"/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E063AC" w:rsidRPr="004607B5" w:rsidRDefault="00E063AC" w:rsidP="00855174">
            <w:pPr>
              <w:spacing w:before="0" w:after="0" w:line="240" w:lineRule="auto"/>
              <w:ind w:left="30"/>
              <w:jc w:val="center"/>
              <w:rPr>
                <w:b/>
              </w:rPr>
            </w:pPr>
            <w:r w:rsidRPr="004607B5">
              <w:rPr>
                <w:b/>
              </w:rPr>
              <w:br w:type="page"/>
            </w:r>
            <w:r w:rsidR="00855174">
              <w:rPr>
                <w:b/>
              </w:rPr>
              <w:t>Supporting Claim</w:t>
            </w:r>
            <w:r>
              <w:rPr>
                <w:b/>
              </w:rPr>
              <w:t xml:space="preserve"> </w:t>
            </w:r>
          </w:p>
        </w:tc>
        <w:tc>
          <w:tcPr>
            <w:tcW w:w="258" w:type="dxa"/>
            <w:vMerge w:val="restart"/>
            <w:tcBorders>
              <w:top w:val="nil"/>
            </w:tcBorders>
            <w:vAlign w:val="center"/>
          </w:tcPr>
          <w:p w:rsidR="00E063AC" w:rsidRPr="004607B5" w:rsidRDefault="00E063AC" w:rsidP="00DB6B12">
            <w:pPr>
              <w:spacing w:before="0" w:after="0" w:line="240" w:lineRule="auto"/>
              <w:ind w:left="30"/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E063AC" w:rsidRPr="004607B5" w:rsidRDefault="00E063AC" w:rsidP="00A36BC8">
            <w:pPr>
              <w:spacing w:before="0" w:after="0" w:line="240" w:lineRule="auto"/>
              <w:ind w:left="30"/>
              <w:jc w:val="center"/>
              <w:rPr>
                <w:b/>
              </w:rPr>
            </w:pPr>
            <w:r w:rsidRPr="004607B5">
              <w:rPr>
                <w:b/>
              </w:rPr>
              <w:br w:type="page"/>
            </w:r>
            <w:r w:rsidR="00A36BC8">
              <w:rPr>
                <w:b/>
              </w:rPr>
              <w:t>Counterclaim</w:t>
            </w:r>
            <w:r>
              <w:rPr>
                <w:b/>
              </w:rPr>
              <w:t xml:space="preserve"> </w:t>
            </w:r>
          </w:p>
        </w:tc>
      </w:tr>
      <w:tr w:rsidR="00855174" w:rsidRPr="00646E43" w:rsidTr="00FF6601">
        <w:tc>
          <w:tcPr>
            <w:tcW w:w="2230" w:type="dxa"/>
            <w:shd w:val="clear" w:color="auto" w:fill="auto"/>
          </w:tcPr>
          <w:p w:rsidR="00A36BC8" w:rsidRPr="00646E43" w:rsidRDefault="00A36BC8" w:rsidP="00646E43">
            <w:pPr>
              <w:pStyle w:val="ToolTableText"/>
            </w:pPr>
            <w:r w:rsidRPr="00646E43">
              <w:t xml:space="preserve">Workers in </w:t>
            </w:r>
            <w:r w:rsidR="00577429" w:rsidRPr="00646E43">
              <w:t>developing nations</w:t>
            </w:r>
            <w:r w:rsidRPr="00646E43">
              <w:t xml:space="preserve"> </w:t>
            </w:r>
            <w:r w:rsidR="00577429" w:rsidRPr="00646E43">
              <w:t xml:space="preserve">may prefer </w:t>
            </w:r>
            <w:r w:rsidR="003B7219" w:rsidRPr="00646E43">
              <w:t>sweatshop</w:t>
            </w:r>
            <w:r w:rsidR="00577429" w:rsidRPr="00646E43">
              <w:t xml:space="preserve"> work to alternative forms of labor</w:t>
            </w:r>
            <w:r w:rsidR="00E97440" w:rsidRPr="00646E43">
              <w:t>.</w:t>
            </w:r>
          </w:p>
        </w:tc>
        <w:tc>
          <w:tcPr>
            <w:tcW w:w="257" w:type="dxa"/>
            <w:vMerge/>
            <w:shd w:val="clear" w:color="auto" w:fill="auto"/>
          </w:tcPr>
          <w:p w:rsidR="00855174" w:rsidRPr="00646E43" w:rsidRDefault="00855174" w:rsidP="00646E43">
            <w:pPr>
              <w:pStyle w:val="ToolTableText"/>
            </w:pPr>
          </w:p>
        </w:tc>
        <w:tc>
          <w:tcPr>
            <w:tcW w:w="2156" w:type="dxa"/>
            <w:shd w:val="clear" w:color="auto" w:fill="auto"/>
          </w:tcPr>
          <w:p w:rsidR="00855174" w:rsidRPr="00646E43" w:rsidRDefault="00A36BC8" w:rsidP="00646E43">
            <w:pPr>
              <w:pStyle w:val="ToolTableText"/>
            </w:pPr>
            <w:r w:rsidRPr="00646E43">
              <w:t>“The best way to help peopl</w:t>
            </w:r>
            <w:r w:rsidR="005A798D" w:rsidRPr="00646E43">
              <w:t>e in the poorest countries is not</w:t>
            </w:r>
            <w:r w:rsidRPr="00646E43">
              <w:t xml:space="preserve"> to campaign against sweatshops but to promote manufacturing there.”</w:t>
            </w:r>
          </w:p>
        </w:tc>
        <w:tc>
          <w:tcPr>
            <w:tcW w:w="258" w:type="dxa"/>
            <w:vMerge/>
            <w:shd w:val="clear" w:color="auto" w:fill="auto"/>
          </w:tcPr>
          <w:p w:rsidR="00855174" w:rsidRPr="00646E43" w:rsidRDefault="00855174" w:rsidP="00646E43">
            <w:pPr>
              <w:pStyle w:val="ToolTableText"/>
            </w:pPr>
          </w:p>
        </w:tc>
        <w:tc>
          <w:tcPr>
            <w:tcW w:w="2119" w:type="dxa"/>
            <w:shd w:val="clear" w:color="auto" w:fill="auto"/>
          </w:tcPr>
          <w:p w:rsidR="00855174" w:rsidRPr="00646E43" w:rsidRDefault="00855174" w:rsidP="00646E43">
            <w:pPr>
              <w:pStyle w:val="ToolTableText"/>
            </w:pPr>
            <w:r w:rsidRPr="00646E43">
              <w:t xml:space="preserve">Sweatshops raise the living standard of </w:t>
            </w:r>
            <w:r w:rsidR="00A36BC8" w:rsidRPr="00646E43">
              <w:t>workers in poor countries</w:t>
            </w:r>
            <w:r w:rsidR="00E97440" w:rsidRPr="00646E43">
              <w:t>.</w:t>
            </w:r>
          </w:p>
        </w:tc>
        <w:tc>
          <w:tcPr>
            <w:tcW w:w="258" w:type="dxa"/>
            <w:vMerge/>
            <w:shd w:val="clear" w:color="auto" w:fill="auto"/>
          </w:tcPr>
          <w:p w:rsidR="00855174" w:rsidRPr="00646E43" w:rsidRDefault="00855174" w:rsidP="00646E43">
            <w:pPr>
              <w:pStyle w:val="ToolTableText"/>
            </w:pPr>
          </w:p>
        </w:tc>
        <w:tc>
          <w:tcPr>
            <w:tcW w:w="2298" w:type="dxa"/>
            <w:shd w:val="clear" w:color="auto" w:fill="auto"/>
          </w:tcPr>
          <w:p w:rsidR="00855174" w:rsidRPr="00646E43" w:rsidRDefault="00855174" w:rsidP="00646E43">
            <w:pPr>
              <w:pStyle w:val="ToolTableText"/>
            </w:pPr>
            <w:r w:rsidRPr="00646E43">
              <w:t xml:space="preserve">Labor </w:t>
            </w:r>
            <w:r w:rsidR="00D24F0A" w:rsidRPr="00646E43">
              <w:t>s</w:t>
            </w:r>
            <w:r w:rsidRPr="00646E43">
              <w:t xml:space="preserve">tandards are </w:t>
            </w:r>
            <w:r w:rsidR="00A36BC8" w:rsidRPr="00646E43">
              <w:t>the best way to help workers in poor countries</w:t>
            </w:r>
            <w:r w:rsidR="00E97440" w:rsidRPr="00646E43">
              <w:t>.</w:t>
            </w:r>
          </w:p>
        </w:tc>
      </w:tr>
      <w:tr w:rsidR="00855174" w:rsidTr="00FF6601">
        <w:trPr>
          <w:trHeight w:val="2600"/>
        </w:trPr>
        <w:tc>
          <w:tcPr>
            <w:tcW w:w="2230" w:type="dxa"/>
            <w:shd w:val="clear" w:color="auto" w:fill="auto"/>
          </w:tcPr>
          <w:p w:rsidR="00855174" w:rsidRPr="001C5C72" w:rsidRDefault="00855174" w:rsidP="001C5C72">
            <w:pPr>
              <w:pStyle w:val="ToolTableText"/>
              <w:jc w:val="center"/>
              <w:rPr>
                <w:b/>
              </w:rPr>
            </w:pPr>
            <w:r w:rsidRPr="001C5C72">
              <w:rPr>
                <w:b/>
              </w:rPr>
              <w:t>Evidence</w:t>
            </w:r>
          </w:p>
          <w:p w:rsidR="00841078" w:rsidRPr="00841078" w:rsidRDefault="00A36BC8" w:rsidP="001C5C72">
            <w:pPr>
              <w:pStyle w:val="ToolTableText"/>
            </w:pPr>
            <w:r w:rsidRPr="00841078">
              <w:t xml:space="preserve">The author quotes </w:t>
            </w:r>
            <w:r w:rsidR="00B9293D" w:rsidRPr="00841078">
              <w:t xml:space="preserve">people </w:t>
            </w:r>
            <w:r w:rsidRPr="00841078">
              <w:t>living in the dump who say they’d love to work in sweatshops.</w:t>
            </w:r>
          </w:p>
          <w:p w:rsidR="00A36BC8" w:rsidRPr="00841078" w:rsidRDefault="00A36BC8" w:rsidP="001C5C72">
            <w:pPr>
              <w:pStyle w:val="ToolTableText"/>
            </w:pPr>
            <w:r w:rsidRPr="00841078">
              <w:t>“</w:t>
            </w:r>
            <w:r w:rsidR="00577429" w:rsidRPr="00841078">
              <w:t>It’s dirty, hot and smelly here…</w:t>
            </w:r>
            <w:r w:rsidRPr="00841078">
              <w:t xml:space="preserve"> </w:t>
            </w:r>
            <w:r w:rsidR="00577429" w:rsidRPr="00841078">
              <w:t>A</w:t>
            </w:r>
            <w:r w:rsidRPr="00841078">
              <w:t xml:space="preserve"> factory is better.” </w:t>
            </w:r>
          </w:p>
          <w:p w:rsidR="00855174" w:rsidRPr="004C0503" w:rsidRDefault="00577429" w:rsidP="001C5C72">
            <w:pPr>
              <w:pStyle w:val="ToolTableText"/>
            </w:pPr>
            <w:r w:rsidRPr="00841078">
              <w:t>“I’d love to get a job in a factory.”</w:t>
            </w: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:rsidR="00855174" w:rsidRPr="004607B5" w:rsidRDefault="00855174" w:rsidP="001C5C72">
            <w:pPr>
              <w:pStyle w:val="ToolTableText"/>
            </w:pPr>
          </w:p>
        </w:tc>
        <w:tc>
          <w:tcPr>
            <w:tcW w:w="2156" w:type="dxa"/>
            <w:shd w:val="clear" w:color="auto" w:fill="auto"/>
          </w:tcPr>
          <w:p w:rsidR="00855174" w:rsidRPr="001C5C72" w:rsidRDefault="00855174" w:rsidP="001C5C72">
            <w:pPr>
              <w:pStyle w:val="ToolTableText"/>
              <w:jc w:val="center"/>
              <w:rPr>
                <w:b/>
              </w:rPr>
            </w:pPr>
            <w:r w:rsidRPr="001C5C72">
              <w:rPr>
                <w:b/>
              </w:rPr>
              <w:t>Evidence</w:t>
            </w:r>
          </w:p>
          <w:p w:rsidR="00855174" w:rsidRPr="00F12F88" w:rsidRDefault="001E081C" w:rsidP="001C5C72">
            <w:pPr>
              <w:pStyle w:val="ToolTableText"/>
            </w:pPr>
            <w:r>
              <w:t>The author</w:t>
            </w:r>
            <w:r w:rsidR="00A36BC8">
              <w:t xml:space="preserve"> states that</w:t>
            </w:r>
            <w:r w:rsidR="00A36BC8" w:rsidRPr="007F73A9">
              <w:t xml:space="preserve"> </w:t>
            </w:r>
            <w:r w:rsidR="00A36BC8">
              <w:t>“</w:t>
            </w:r>
            <w:r w:rsidR="00A36BC8" w:rsidRPr="007F73A9">
              <w:t xml:space="preserve">Among </w:t>
            </w:r>
            <w:proofErr w:type="gramStart"/>
            <w:r w:rsidR="00A36BC8" w:rsidRPr="007F73A9">
              <w:t>people</w:t>
            </w:r>
            <w:proofErr w:type="gramEnd"/>
            <w:r w:rsidR="00A36BC8" w:rsidRPr="007F73A9">
              <w:t xml:space="preserve"> who work in development, many strongly believe (but few dare say very loudly) that one of the best hopes for the poorest countries would be to build their manufacturing industries.</w:t>
            </w:r>
            <w:r w:rsidR="00A36BC8">
              <w:t>”</w:t>
            </w:r>
          </w:p>
        </w:tc>
        <w:tc>
          <w:tcPr>
            <w:tcW w:w="258" w:type="dxa"/>
            <w:vMerge/>
            <w:tcBorders>
              <w:bottom w:val="nil"/>
            </w:tcBorders>
            <w:shd w:val="clear" w:color="auto" w:fill="auto"/>
          </w:tcPr>
          <w:p w:rsidR="00855174" w:rsidRPr="004607B5" w:rsidRDefault="00855174" w:rsidP="001C5C72">
            <w:pPr>
              <w:pStyle w:val="ToolTableText"/>
            </w:pPr>
          </w:p>
        </w:tc>
        <w:tc>
          <w:tcPr>
            <w:tcW w:w="2119" w:type="dxa"/>
            <w:shd w:val="clear" w:color="auto" w:fill="auto"/>
          </w:tcPr>
          <w:p w:rsidR="00855174" w:rsidRPr="001C5C72" w:rsidRDefault="00855174" w:rsidP="001C5C72">
            <w:pPr>
              <w:pStyle w:val="ToolTableText"/>
              <w:jc w:val="center"/>
              <w:rPr>
                <w:b/>
              </w:rPr>
            </w:pPr>
            <w:r w:rsidRPr="001C5C72">
              <w:rPr>
                <w:b/>
              </w:rPr>
              <w:t>Evidence</w:t>
            </w:r>
          </w:p>
          <w:p w:rsidR="00855174" w:rsidRDefault="00855174" w:rsidP="001C5C72">
            <w:pPr>
              <w:pStyle w:val="ToolTableText"/>
            </w:pPr>
            <w:r>
              <w:t>The author mentions living “</w:t>
            </w:r>
            <w:r w:rsidRPr="007F73A9">
              <w:t>in East Asia, watc</w:t>
            </w:r>
            <w:r w:rsidR="003B7219">
              <w:t>hing as living standards soared—</w:t>
            </w:r>
            <w:r w:rsidRPr="007F73A9">
              <w:t>including those in my wife’s ance</w:t>
            </w:r>
            <w:r w:rsidR="003B7219">
              <w:t>stral village in southern China—</w:t>
            </w:r>
            <w:r w:rsidRPr="007F73A9">
              <w:t xml:space="preserve">because of sweatshop </w:t>
            </w:r>
            <w:r w:rsidRPr="00646E43">
              <w:t>jobs.”</w:t>
            </w:r>
          </w:p>
          <w:p w:rsidR="00646E43" w:rsidRPr="00F12F88" w:rsidRDefault="00646E43" w:rsidP="001C5C72">
            <w:pPr>
              <w:pStyle w:val="ToolTableText"/>
            </w:pPr>
          </w:p>
        </w:tc>
        <w:tc>
          <w:tcPr>
            <w:tcW w:w="258" w:type="dxa"/>
            <w:vMerge/>
            <w:tcBorders>
              <w:bottom w:val="nil"/>
            </w:tcBorders>
            <w:shd w:val="clear" w:color="auto" w:fill="auto"/>
          </w:tcPr>
          <w:p w:rsidR="00855174" w:rsidRPr="004607B5" w:rsidRDefault="00855174" w:rsidP="001C5C72">
            <w:pPr>
              <w:pStyle w:val="ToolTableText"/>
            </w:pPr>
          </w:p>
        </w:tc>
        <w:tc>
          <w:tcPr>
            <w:tcW w:w="2298" w:type="dxa"/>
            <w:shd w:val="clear" w:color="auto" w:fill="auto"/>
          </w:tcPr>
          <w:p w:rsidR="00855174" w:rsidRPr="001C5C72" w:rsidRDefault="00855174" w:rsidP="001C5C72">
            <w:pPr>
              <w:pStyle w:val="ToolTableText"/>
              <w:jc w:val="center"/>
              <w:rPr>
                <w:b/>
                <w:spacing w:val="-4"/>
              </w:rPr>
            </w:pPr>
            <w:r w:rsidRPr="001C5C72">
              <w:rPr>
                <w:b/>
                <w:spacing w:val="-4"/>
              </w:rPr>
              <w:t>Evidence</w:t>
            </w:r>
          </w:p>
          <w:p w:rsidR="00855174" w:rsidRPr="003208CF" w:rsidRDefault="00265DEE" w:rsidP="001C5C72">
            <w:pPr>
              <w:pStyle w:val="ToolTableTex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3208CF">
              <w:rPr>
                <w:spacing w:val="-4"/>
              </w:rPr>
              <w:t xml:space="preserve">The author argues against the claim that labor standards are the best way to help workers in poor countries by </w:t>
            </w:r>
            <w:r w:rsidR="003B7219" w:rsidRPr="003208CF">
              <w:rPr>
                <w:spacing w:val="-4"/>
              </w:rPr>
              <w:t>showing how</w:t>
            </w:r>
            <w:r w:rsidRPr="003208CF">
              <w:rPr>
                <w:spacing w:val="-4"/>
              </w:rPr>
              <w:t xml:space="preserve"> </w:t>
            </w:r>
            <w:r w:rsidR="003B7219" w:rsidRPr="003208CF">
              <w:rPr>
                <w:spacing w:val="-4"/>
              </w:rPr>
              <w:t>l</w:t>
            </w:r>
            <w:r w:rsidR="00A36BC8" w:rsidRPr="003208CF">
              <w:rPr>
                <w:spacing w:val="-4"/>
              </w:rPr>
              <w:t xml:space="preserve">abor standards increase costs and </w:t>
            </w:r>
            <w:r w:rsidR="00A36BC8" w:rsidRPr="001C5C72">
              <w:rPr>
                <w:spacing w:val="-6"/>
              </w:rPr>
              <w:t xml:space="preserve">force companies to move </w:t>
            </w:r>
            <w:r w:rsidR="00A7590E" w:rsidRPr="001C5C72">
              <w:rPr>
                <w:spacing w:val="-6"/>
              </w:rPr>
              <w:t>to other countries</w:t>
            </w:r>
            <w:r w:rsidR="00A36BC8" w:rsidRPr="001C5C72">
              <w:rPr>
                <w:spacing w:val="-6"/>
              </w:rPr>
              <w:t xml:space="preserve">. </w:t>
            </w:r>
            <w:r w:rsidR="00A36BC8" w:rsidRPr="003208CF">
              <w:rPr>
                <w:spacing w:val="-4"/>
              </w:rPr>
              <w:t xml:space="preserve">Even in places like Cambodia, where the raising of labor standards is said to be </w:t>
            </w:r>
            <w:proofErr w:type="gramStart"/>
            <w:r w:rsidR="00A36BC8" w:rsidRPr="003208CF">
              <w:rPr>
                <w:spacing w:val="-4"/>
              </w:rPr>
              <w:t>working,</w:t>
            </w:r>
            <w:proofErr w:type="gramEnd"/>
            <w:r w:rsidR="00A36BC8" w:rsidRPr="003208CF">
              <w:rPr>
                <w:spacing w:val="-4"/>
              </w:rPr>
              <w:t xml:space="preserve"> there are problems with bribes and compa</w:t>
            </w:r>
            <w:r w:rsidR="00841078" w:rsidRPr="003208CF">
              <w:rPr>
                <w:spacing w:val="-4"/>
              </w:rPr>
              <w:t>nies moving production overseas.</w:t>
            </w:r>
          </w:p>
        </w:tc>
      </w:tr>
      <w:tr w:rsidR="00855174" w:rsidTr="00FF6601">
        <w:trPr>
          <w:trHeight w:val="2600"/>
        </w:trPr>
        <w:tc>
          <w:tcPr>
            <w:tcW w:w="2230" w:type="dxa"/>
            <w:tcBorders>
              <w:right w:val="single" w:sz="4" w:space="0" w:color="auto"/>
            </w:tcBorders>
            <w:shd w:val="clear" w:color="auto" w:fill="auto"/>
          </w:tcPr>
          <w:p w:rsidR="00855174" w:rsidRDefault="00855174" w:rsidP="00DB6B12">
            <w:pPr>
              <w:spacing w:before="0" w:after="0" w:line="240" w:lineRule="auto"/>
              <w:ind w:left="30"/>
              <w:jc w:val="center"/>
              <w:rPr>
                <w:b/>
              </w:rPr>
            </w:pPr>
            <w:r>
              <w:rPr>
                <w:b/>
              </w:rPr>
              <w:t>Is it relevant and sufficient? What more do you need to know?</w:t>
            </w:r>
          </w:p>
          <w:p w:rsidR="00855174" w:rsidRDefault="00855174" w:rsidP="00841078">
            <w:pPr>
              <w:spacing w:before="0" w:after="0" w:line="240" w:lineRule="auto"/>
              <w:ind w:left="30"/>
              <w:jc w:val="center"/>
            </w:pPr>
          </w:p>
          <w:p w:rsidR="00A36BC8" w:rsidRPr="003F27BB" w:rsidRDefault="00A36BC8" w:rsidP="001C5C72">
            <w:pPr>
              <w:pStyle w:val="ToolTableText"/>
            </w:pPr>
            <w:r>
              <w:t>It is relevant because</w:t>
            </w:r>
            <w:r w:rsidR="005D7630">
              <w:t xml:space="preserve"> t</w:t>
            </w:r>
            <w:r>
              <w:t xml:space="preserve">he </w:t>
            </w:r>
            <w:r w:rsidR="005D7630">
              <w:t xml:space="preserve">author provides the perspectives of </w:t>
            </w:r>
            <w:r w:rsidR="00B9293D">
              <w:t xml:space="preserve">people who </w:t>
            </w:r>
            <w:r w:rsidR="005D7630">
              <w:t>would prefer sweatshop jobs to working in the dump.</w:t>
            </w:r>
            <w:r w:rsidR="00FA5AC3">
              <w:t xml:space="preserve"> </w:t>
            </w:r>
            <w:r w:rsidR="005D7630">
              <w:t xml:space="preserve">However, it may not be sufficient since the author provides </w:t>
            </w:r>
            <w:r w:rsidR="00BB70D1">
              <w:t xml:space="preserve">the perspective of only a few </w:t>
            </w:r>
            <w:r w:rsidR="005D7630">
              <w:t>people</w:t>
            </w:r>
            <w:r w:rsidR="00BB70D1">
              <w:t>.</w:t>
            </w:r>
            <w:r w:rsidR="00FA5AC3">
              <w:t xml:space="preserve"> </w:t>
            </w:r>
            <w:r>
              <w:t xml:space="preserve">It may not be the case that all </w:t>
            </w:r>
            <w:r w:rsidR="00B9293D">
              <w:t>workers in poor countries</w:t>
            </w:r>
            <w:r>
              <w:t xml:space="preserve"> </w:t>
            </w:r>
            <w:r w:rsidR="00472391">
              <w:t xml:space="preserve">would prefer </w:t>
            </w:r>
            <w:r>
              <w:t xml:space="preserve">sweatshop </w:t>
            </w:r>
            <w:r w:rsidR="00472391">
              <w:t>work to other forms of labor</w:t>
            </w:r>
            <w:r>
              <w:t>.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174" w:rsidRPr="004607B5" w:rsidRDefault="00855174" w:rsidP="00DB6B12">
            <w:pPr>
              <w:spacing w:before="0" w:after="0" w:line="240" w:lineRule="auto"/>
              <w:ind w:left="30"/>
              <w:rPr>
                <w:b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auto"/>
          </w:tcPr>
          <w:p w:rsidR="00855174" w:rsidRDefault="00855174" w:rsidP="00DB6B12">
            <w:pPr>
              <w:spacing w:before="0" w:after="0" w:line="240" w:lineRule="auto"/>
              <w:ind w:left="30"/>
              <w:jc w:val="center"/>
              <w:rPr>
                <w:b/>
              </w:rPr>
            </w:pPr>
            <w:r>
              <w:rPr>
                <w:b/>
              </w:rPr>
              <w:t>Is it relevant and sufficient? What more do you need to know?</w:t>
            </w:r>
          </w:p>
          <w:p w:rsidR="00855174" w:rsidRDefault="00855174" w:rsidP="00DB6B12">
            <w:pPr>
              <w:spacing w:before="0" w:after="0" w:line="240" w:lineRule="auto"/>
              <w:ind w:left="30"/>
              <w:jc w:val="center"/>
              <w:rPr>
                <w:b/>
              </w:rPr>
            </w:pPr>
          </w:p>
          <w:p w:rsidR="00A36BC8" w:rsidRDefault="00A36BC8" w:rsidP="00841078">
            <w:pPr>
              <w:pStyle w:val="ToolTableText"/>
            </w:pPr>
            <w:r w:rsidRPr="00F12F88">
              <w:t>The evidence is relevant but n</w:t>
            </w:r>
            <w:r w:rsidR="005A798D">
              <w:t>ot sufficient because he does not</w:t>
            </w:r>
            <w:r w:rsidRPr="00F12F88">
              <w:t xml:space="preserve"> provide proof</w:t>
            </w:r>
            <w:r w:rsidR="00472391">
              <w:t xml:space="preserve"> that encouraging imports works.</w:t>
            </w:r>
            <w:r w:rsidR="00FA5AC3">
              <w:t xml:space="preserve"> </w:t>
            </w:r>
            <w:r w:rsidR="00472391">
              <w:t xml:space="preserve">Furthermore, the author </w:t>
            </w:r>
            <w:r w:rsidRPr="00F12F88">
              <w:t xml:space="preserve">does not name the </w:t>
            </w:r>
            <w:r w:rsidR="004F2B27">
              <w:t>“people who work in development</w:t>
            </w:r>
            <w:r w:rsidRPr="00F12F88">
              <w:t>”</w:t>
            </w:r>
            <w:r w:rsidR="004F2B27">
              <w:t xml:space="preserve"> nor does he provide direct quotes from them.</w:t>
            </w:r>
            <w:r w:rsidR="00FA5AC3">
              <w:t xml:space="preserve"> </w:t>
            </w:r>
          </w:p>
          <w:p w:rsidR="00A36BC8" w:rsidRPr="00F12F88" w:rsidRDefault="00A36BC8" w:rsidP="00F12F88">
            <w:pPr>
              <w:spacing w:before="0" w:after="0" w:line="240" w:lineRule="auto"/>
              <w:ind w:left="30"/>
            </w:pP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auto"/>
          </w:tcPr>
          <w:p w:rsidR="00855174" w:rsidRPr="004607B5" w:rsidRDefault="00855174" w:rsidP="00DB6B12">
            <w:pPr>
              <w:spacing w:before="0" w:after="0" w:line="240" w:lineRule="auto"/>
              <w:ind w:left="30"/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855174" w:rsidRDefault="00855174" w:rsidP="00DB6B12">
            <w:pPr>
              <w:spacing w:before="0" w:after="0" w:line="240" w:lineRule="auto"/>
              <w:ind w:left="30"/>
              <w:jc w:val="center"/>
              <w:rPr>
                <w:b/>
              </w:rPr>
            </w:pPr>
            <w:r>
              <w:rPr>
                <w:b/>
              </w:rPr>
              <w:t>Is it relevant and sufficient? What more do you need to know?</w:t>
            </w:r>
          </w:p>
          <w:p w:rsidR="00855174" w:rsidRDefault="00855174" w:rsidP="00DB6B12">
            <w:pPr>
              <w:spacing w:before="0" w:after="0" w:line="240" w:lineRule="auto"/>
              <w:ind w:left="30"/>
              <w:jc w:val="center"/>
              <w:rPr>
                <w:b/>
              </w:rPr>
            </w:pPr>
          </w:p>
          <w:p w:rsidR="00855174" w:rsidRPr="00F12F88" w:rsidRDefault="00855174" w:rsidP="00C14BDC">
            <w:pPr>
              <w:pStyle w:val="ToolTableText"/>
            </w:pPr>
            <w:r>
              <w:t>It is</w:t>
            </w:r>
            <w:r w:rsidR="004F2B27">
              <w:t xml:space="preserve"> relevant as</w:t>
            </w:r>
            <w:r>
              <w:t xml:space="preserve"> a piece of personal evidence </w:t>
            </w:r>
            <w:r w:rsidR="004F2B27">
              <w:t>supporting the claim.</w:t>
            </w:r>
            <w:r w:rsidR="00FA5AC3">
              <w:t xml:space="preserve"> </w:t>
            </w:r>
            <w:r w:rsidR="004F2B27">
              <w:t>However, it is not sufficient since it is confined to observations about a particular area and does not include any hard data (statistics, etc.)</w:t>
            </w:r>
            <w:r w:rsidR="00C14BDC">
              <w:t>.</w:t>
            </w:r>
            <w:r w:rsidR="00FA5AC3">
              <w:t xml:space="preserve"> </w:t>
            </w: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auto"/>
          </w:tcPr>
          <w:p w:rsidR="00855174" w:rsidRPr="004607B5" w:rsidRDefault="00855174" w:rsidP="00DB6B12">
            <w:pPr>
              <w:spacing w:before="0" w:after="0" w:line="240" w:lineRule="auto"/>
              <w:ind w:left="30"/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</w:tcPr>
          <w:p w:rsidR="00855174" w:rsidRDefault="00855174" w:rsidP="00DB6B12">
            <w:pPr>
              <w:spacing w:before="0" w:after="0" w:line="240" w:lineRule="auto"/>
              <w:ind w:left="30"/>
              <w:jc w:val="center"/>
              <w:rPr>
                <w:b/>
              </w:rPr>
            </w:pPr>
            <w:r>
              <w:rPr>
                <w:b/>
              </w:rPr>
              <w:t>Is it relevant and sufficient? What more do you need to know?</w:t>
            </w:r>
          </w:p>
          <w:p w:rsidR="00A36BC8" w:rsidRDefault="00A36BC8" w:rsidP="003B4931">
            <w:pPr>
              <w:spacing w:before="0" w:after="0" w:line="240" w:lineRule="auto"/>
              <w:ind w:left="30"/>
              <w:jc w:val="center"/>
            </w:pPr>
          </w:p>
          <w:p w:rsidR="00A36BC8" w:rsidRPr="00F12F88" w:rsidRDefault="00A36BC8" w:rsidP="00841078">
            <w:pPr>
              <w:pStyle w:val="ToolTableText"/>
            </w:pPr>
            <w:r w:rsidRPr="003F27BB">
              <w:t>It is relevant and may be sufficient</w:t>
            </w:r>
            <w:r w:rsidR="00265DEE">
              <w:t>, but the author does not provide enough evidence in support of the counterclaim</w:t>
            </w:r>
            <w:r w:rsidRPr="003F27BB">
              <w:t xml:space="preserve">. </w:t>
            </w:r>
            <w:r w:rsidR="009A1E48">
              <w:t>Cambodia is a selective example; i</w:t>
            </w:r>
            <w:r w:rsidRPr="003F27BB">
              <w:t xml:space="preserve">t would be helpful to know if there </w:t>
            </w:r>
            <w:r w:rsidR="009A1E48">
              <w:t xml:space="preserve">are countries </w:t>
            </w:r>
            <w:r w:rsidR="00001402">
              <w:t xml:space="preserve">in which </w:t>
            </w:r>
            <w:r w:rsidRPr="003F27BB">
              <w:t xml:space="preserve">raising labor standards </w:t>
            </w:r>
            <w:r w:rsidR="009A1E48">
              <w:t xml:space="preserve">has </w:t>
            </w:r>
            <w:r w:rsidRPr="003F27BB">
              <w:t>worked.</w:t>
            </w:r>
            <w:r w:rsidR="00FA5AC3">
              <w:t xml:space="preserve"> </w:t>
            </w:r>
            <w:r w:rsidRPr="003F27BB">
              <w:t xml:space="preserve">Also, </w:t>
            </w:r>
            <w:r w:rsidR="00001402">
              <w:t xml:space="preserve">data </w:t>
            </w:r>
            <w:r w:rsidRPr="003F27BB">
              <w:t xml:space="preserve">about </w:t>
            </w:r>
            <w:r w:rsidR="00001402">
              <w:t>how many factories have closed down due to labor standards in Cambodia would be helpful</w:t>
            </w:r>
            <w:r w:rsidRPr="003F27BB">
              <w:t>.</w:t>
            </w:r>
          </w:p>
        </w:tc>
      </w:tr>
    </w:tbl>
    <w:p w:rsidR="00202BA5" w:rsidRDefault="00202BA5" w:rsidP="00202BA5">
      <w:proofErr w:type="gramStart"/>
      <w:r w:rsidRPr="00FF6601">
        <w:rPr>
          <w:sz w:val="18"/>
        </w:rPr>
        <w:t xml:space="preserve">From </w:t>
      </w:r>
      <w:r>
        <w:rPr>
          <w:sz w:val="18"/>
        </w:rPr>
        <w:t>Delineating Arguments</w:t>
      </w:r>
      <w:r w:rsidRPr="00FF6601">
        <w:rPr>
          <w:sz w:val="18"/>
        </w:rPr>
        <w:t xml:space="preserve"> Tool, by Odell Education, www.odelleducation.com.</w:t>
      </w:r>
      <w:proofErr w:type="gramEnd"/>
      <w:r w:rsidRPr="00FF6601">
        <w:rPr>
          <w:sz w:val="18"/>
        </w:rPr>
        <w:t xml:space="preserve"> </w:t>
      </w:r>
      <w:proofErr w:type="gramStart"/>
      <w:r w:rsidRPr="00FF6601">
        <w:rPr>
          <w:sz w:val="18"/>
        </w:rPr>
        <w:t>Copyright (2012) by Odell Education.</w:t>
      </w:r>
      <w:proofErr w:type="gramEnd"/>
      <w:r w:rsidRPr="00FF6601">
        <w:rPr>
          <w:sz w:val="18"/>
        </w:rPr>
        <w:t xml:space="preserve"> </w:t>
      </w:r>
      <w:proofErr w:type="gramStart"/>
      <w:r w:rsidRPr="00FF6601">
        <w:rPr>
          <w:sz w:val="18"/>
        </w:rPr>
        <w:t>Adapted with permission under an Attribution-NonCommercial 3.0 Unported license:</w:t>
      </w:r>
      <w:hyperlink r:id="rId9" w:history="1">
        <w:r w:rsidRPr="00FF6601">
          <w:rPr>
            <w:rStyle w:val="Hyperlink"/>
            <w:color w:val="000000"/>
            <w:sz w:val="18"/>
          </w:rPr>
          <w:t xml:space="preserve"> </w:t>
        </w:r>
        <w:r w:rsidRPr="00FF6601">
          <w:rPr>
            <w:rStyle w:val="Hyperlink"/>
            <w:color w:val="1155CC"/>
            <w:sz w:val="18"/>
          </w:rPr>
          <w:t>http://creativecommons.org/licenses/by-nc/3.0/</w:t>
        </w:r>
      </w:hyperlink>
      <w:r w:rsidRPr="00FF6601">
        <w:rPr>
          <w:sz w:val="18"/>
        </w:rPr>
        <w:t>.</w:t>
      </w:r>
      <w:proofErr w:type="gramEnd"/>
      <w:r w:rsidRPr="00FF6601">
        <w:rPr>
          <w:sz w:val="18"/>
        </w:rPr>
        <w:t xml:space="preserve">  </w:t>
      </w:r>
    </w:p>
    <w:p w:rsidR="003F1228" w:rsidRPr="001C5C72" w:rsidRDefault="003F1228" w:rsidP="001C5C72"/>
    <w:sectPr w:rsidR="003F1228" w:rsidRPr="001C5C72" w:rsidSect="0084107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08" w:rsidRDefault="00E92608" w:rsidP="00E946A0">
      <w:r>
        <w:separator/>
      </w:r>
    </w:p>
    <w:p w:rsidR="00E92608" w:rsidRDefault="00E92608" w:rsidP="00E946A0"/>
  </w:endnote>
  <w:endnote w:type="continuationSeparator" w:id="0">
    <w:p w:rsidR="00E92608" w:rsidRDefault="00E92608" w:rsidP="00E946A0">
      <w:r>
        <w:continuationSeparator/>
      </w:r>
    </w:p>
    <w:p w:rsidR="00E92608" w:rsidRDefault="00E92608" w:rsidP="00E946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3B94A4A2-E0FC-4969-9B6F-C0BE67A010E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subsetted="1" w:fontKey="{8535A2E9-9C33-4E5E-89B9-DAF5802DE1B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AE" w:rsidRDefault="004E770B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E64D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DAE" w:rsidRDefault="00E64DAE" w:rsidP="00E946A0">
    <w:pPr>
      <w:pStyle w:val="Footer"/>
    </w:pPr>
  </w:p>
  <w:p w:rsidR="00E64DAE" w:rsidRDefault="00E64DAE" w:rsidP="00E946A0"/>
  <w:p w:rsidR="00E64DAE" w:rsidRDefault="00E64DAE" w:rsidP="00E946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AE" w:rsidRPr="00563CB8" w:rsidRDefault="00E64DAE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E64DAE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E64DAE" w:rsidRPr="00676F71" w:rsidRDefault="00E64DAE" w:rsidP="004F2969">
          <w:pPr>
            <w:pStyle w:val="FooterText"/>
            <w:rPr>
              <w:rFonts w:asciiTheme="minorHAnsi" w:hAnsiTheme="minorHAnsi"/>
            </w:rPr>
          </w:pPr>
          <w:r w:rsidRPr="00676F71">
            <w:rPr>
              <w:rFonts w:asciiTheme="minorHAnsi" w:hAnsiTheme="minorHAnsi"/>
            </w:rPr>
            <w:t>File:</w:t>
          </w:r>
          <w:r w:rsidRPr="00676F71">
            <w:rPr>
              <w:rFonts w:asciiTheme="minorHAnsi" w:hAnsiTheme="minorHAnsi"/>
              <w:b w:val="0"/>
            </w:rPr>
            <w:t xml:space="preserve"> 9.4.1 Lesson </w:t>
          </w:r>
          <w:r>
            <w:rPr>
              <w:rFonts w:asciiTheme="minorHAnsi" w:hAnsiTheme="minorHAnsi"/>
              <w:b w:val="0"/>
            </w:rPr>
            <w:t>19</w:t>
          </w:r>
          <w:r w:rsidRPr="00676F71">
            <w:rPr>
              <w:rFonts w:asciiTheme="minorHAnsi" w:hAnsiTheme="minorHAnsi"/>
            </w:rPr>
            <w:t xml:space="preserve"> Date:</w:t>
          </w:r>
          <w:r w:rsidRPr="00676F71">
            <w:rPr>
              <w:rFonts w:asciiTheme="minorHAnsi" w:hAnsiTheme="minorHAnsi"/>
              <w:b w:val="0"/>
            </w:rPr>
            <w:t xml:space="preserve"> 3/28/14 </w:t>
          </w:r>
          <w:r w:rsidRPr="00676F71">
            <w:rPr>
              <w:rFonts w:asciiTheme="minorHAnsi" w:hAnsiTheme="minorHAnsi"/>
            </w:rPr>
            <w:t>Classroom Use:</w:t>
          </w:r>
          <w:r w:rsidR="00F71242">
            <w:rPr>
              <w:rFonts w:asciiTheme="minorHAnsi" w:hAnsiTheme="minorHAnsi"/>
              <w:b w:val="0"/>
            </w:rPr>
            <w:t xml:space="preserve"> Starting 4</w:t>
          </w:r>
          <w:r w:rsidRPr="00676F71">
            <w:rPr>
              <w:rFonts w:asciiTheme="minorHAnsi" w:hAnsiTheme="minorHAnsi"/>
              <w:b w:val="0"/>
            </w:rPr>
            <w:t xml:space="preserve">/2014 </w:t>
          </w:r>
        </w:p>
        <w:p w:rsidR="00E64DAE" w:rsidRPr="00676F71" w:rsidRDefault="00E64DAE" w:rsidP="004F2969">
          <w:pPr>
            <w:pStyle w:val="FooterText"/>
            <w:rPr>
              <w:rFonts w:asciiTheme="minorHAnsi" w:hAnsiTheme="minorHAnsi"/>
              <w:b w:val="0"/>
              <w:i/>
              <w:sz w:val="12"/>
            </w:rPr>
          </w:pPr>
          <w:r w:rsidRPr="00676F71">
            <w:rPr>
              <w:rFonts w:asciiTheme="minorHAnsi" w:hAnsiTheme="minorHAnsi"/>
              <w:b w:val="0"/>
              <w:sz w:val="12"/>
            </w:rPr>
            <w:t>© 2014 Public Consulting Group.</w:t>
          </w:r>
          <w:r w:rsidRPr="00676F71">
            <w:rPr>
              <w:rFonts w:asciiTheme="minorHAnsi" w:hAnsiTheme="minorHAnsi"/>
              <w:b w:val="0"/>
              <w:i/>
              <w:sz w:val="12"/>
            </w:rPr>
            <w:t xml:space="preserve"> This work is licensed under a </w:t>
          </w:r>
        </w:p>
        <w:p w:rsidR="00E64DAE" w:rsidRPr="00676F71" w:rsidRDefault="00E64DAE" w:rsidP="004F2969">
          <w:pPr>
            <w:pStyle w:val="FooterText"/>
            <w:rPr>
              <w:rFonts w:asciiTheme="minorHAnsi" w:hAnsiTheme="minorHAnsi"/>
              <w:b w:val="0"/>
              <w:i/>
            </w:rPr>
          </w:pPr>
          <w:r w:rsidRPr="00676F71">
            <w:rPr>
              <w:rFonts w:asciiTheme="minorHAnsi" w:hAnsiTheme="minorHAnsi"/>
              <w:b w:val="0"/>
              <w:i/>
              <w:sz w:val="12"/>
            </w:rPr>
            <w:t>Creative Commons Attribution-NonCommercial-ShareAlike 3.0 Unported License</w:t>
          </w:r>
        </w:p>
        <w:p w:rsidR="00E64DAE" w:rsidRPr="00676F71" w:rsidRDefault="004E770B" w:rsidP="004F2969">
          <w:pPr>
            <w:pStyle w:val="FooterText"/>
            <w:rPr>
              <w:rFonts w:asciiTheme="minorHAnsi" w:hAnsiTheme="minorHAnsi"/>
            </w:rPr>
          </w:pPr>
          <w:hyperlink r:id="rId1" w:history="1">
            <w:r w:rsidR="00E64DAE" w:rsidRPr="00676F71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E64DAE" w:rsidRPr="002E4C92" w:rsidRDefault="004E770B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E64DAE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9D71D0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E64DAE" w:rsidRPr="002E4C92" w:rsidRDefault="00E64DAE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4DAE" w:rsidRPr="0039525B" w:rsidRDefault="00E64DAE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08" w:rsidRDefault="00E92608" w:rsidP="00E946A0">
      <w:r>
        <w:separator/>
      </w:r>
    </w:p>
    <w:p w:rsidR="00E92608" w:rsidRDefault="00E92608" w:rsidP="00E946A0"/>
  </w:footnote>
  <w:footnote w:type="continuationSeparator" w:id="0">
    <w:p w:rsidR="00E92608" w:rsidRDefault="00E92608" w:rsidP="00E946A0">
      <w:r>
        <w:continuationSeparator/>
      </w:r>
    </w:p>
    <w:p w:rsidR="00E92608" w:rsidRDefault="00E92608" w:rsidP="00E946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08"/>
      <w:gridCol w:w="2430"/>
      <w:gridCol w:w="3438"/>
    </w:tblGrid>
    <w:tr w:rsidR="00E64DAE" w:rsidRPr="00563CB8">
      <w:tc>
        <w:tcPr>
          <w:tcW w:w="3708" w:type="dxa"/>
          <w:shd w:val="clear" w:color="auto" w:fill="auto"/>
        </w:tcPr>
        <w:p w:rsidR="00E64DAE" w:rsidRPr="00563CB8" w:rsidRDefault="00E64DAE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E64DAE" w:rsidRPr="00563CB8" w:rsidRDefault="00E64DAE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:rsidR="00E64DAE" w:rsidRPr="00E946A0" w:rsidRDefault="00E64DAE" w:rsidP="00C1382D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9 • Module 4 • Unit 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19</w:t>
          </w:r>
        </w:p>
      </w:tc>
    </w:tr>
  </w:tbl>
  <w:p w:rsidR="00E64DAE" w:rsidRDefault="00E64DAE" w:rsidP="00E946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E654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B462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ED6CF126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7908B6"/>
    <w:multiLevelType w:val="hybridMultilevel"/>
    <w:tmpl w:val="7FCE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A98CDAB6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F35CB4B8">
      <w:start w:val="1"/>
      <w:numFmt w:val="bullet"/>
      <w:pStyle w:val="SASR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4BE55BA"/>
    <w:multiLevelType w:val="hybridMultilevel"/>
    <w:tmpl w:val="DB6C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F5478"/>
    <w:multiLevelType w:val="hybridMultilevel"/>
    <w:tmpl w:val="D39225EA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F1502"/>
    <w:multiLevelType w:val="multilevel"/>
    <w:tmpl w:val="3E7A3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33586E88"/>
    <w:multiLevelType w:val="hybridMultilevel"/>
    <w:tmpl w:val="9E7A1FE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543397"/>
    <w:multiLevelType w:val="hybridMultilevel"/>
    <w:tmpl w:val="C81C900A"/>
    <w:lvl w:ilvl="0" w:tplc="95EA1E7A">
      <w:start w:val="3"/>
      <w:numFmt w:val="decimal"/>
      <w:lvlText w:val="%1."/>
      <w:lvlJc w:val="left"/>
      <w:pPr>
        <w:ind w:left="360" w:hanging="360"/>
      </w:pPr>
      <w:rPr>
        <w:sz w:val="18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5AC57447"/>
    <w:multiLevelType w:val="hybridMultilevel"/>
    <w:tmpl w:val="4E5475CE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F4939C6"/>
    <w:multiLevelType w:val="hybridMultilevel"/>
    <w:tmpl w:val="65A2704E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71F0E"/>
    <w:multiLevelType w:val="hybridMultilevel"/>
    <w:tmpl w:val="D1B0E6AC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34FA9"/>
    <w:multiLevelType w:val="hybridMultilevel"/>
    <w:tmpl w:val="EA684784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1732A"/>
    <w:multiLevelType w:val="hybridMultilevel"/>
    <w:tmpl w:val="BF022E78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12"/>
    <w:lvlOverride w:ilvl="0">
      <w:startOverride w:val="1"/>
    </w:lvlOverride>
  </w:num>
  <w:num w:numId="5">
    <w:abstractNumId w:val="1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"/>
  </w:num>
  <w:num w:numId="12">
    <w:abstractNumId w:val="34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6"/>
  </w:num>
  <w:num w:numId="16">
    <w:abstractNumId w:val="29"/>
  </w:num>
  <w:num w:numId="17">
    <w:abstractNumId w:val="19"/>
  </w:num>
  <w:num w:numId="18">
    <w:abstractNumId w:val="21"/>
  </w:num>
  <w:num w:numId="19">
    <w:abstractNumId w:val="16"/>
  </w:num>
  <w:num w:numId="20">
    <w:abstractNumId w:val="7"/>
  </w:num>
  <w:num w:numId="21">
    <w:abstractNumId w:val="12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1"/>
  </w:num>
  <w:num w:numId="24">
    <w:abstractNumId w:val="8"/>
  </w:num>
  <w:num w:numId="25">
    <w:abstractNumId w:val="28"/>
  </w:num>
  <w:num w:numId="26">
    <w:abstractNumId w:val="22"/>
  </w:num>
  <w:num w:numId="27">
    <w:abstractNumId w:val="5"/>
    <w:lvlOverride w:ilvl="0">
      <w:startOverride w:val="1"/>
    </w:lvlOverride>
  </w:num>
  <w:num w:numId="28">
    <w:abstractNumId w:val="25"/>
  </w:num>
  <w:num w:numId="29">
    <w:abstractNumId w:val="15"/>
  </w:num>
  <w:num w:numId="30">
    <w:abstractNumId w:val="23"/>
  </w:num>
  <w:num w:numId="31">
    <w:abstractNumId w:val="33"/>
  </w:num>
  <w:num w:numId="32">
    <w:abstractNumId w:val="26"/>
  </w:num>
  <w:num w:numId="33">
    <w:abstractNumId w:val="30"/>
  </w:num>
  <w:num w:numId="34">
    <w:abstractNumId w:val="12"/>
    <w:lvlOverride w:ilvl="0">
      <w:startOverride w:val="1"/>
    </w:lvlOverride>
  </w:num>
  <w:num w:numId="35">
    <w:abstractNumId w:val="27"/>
  </w:num>
  <w:num w:numId="36">
    <w:abstractNumId w:val="13"/>
  </w:num>
  <w:num w:numId="37">
    <w:abstractNumId w:val="18"/>
  </w:num>
  <w:num w:numId="38">
    <w:abstractNumId w:val="32"/>
  </w:num>
  <w:num w:numId="39">
    <w:abstractNumId w:val="20"/>
  </w:num>
  <w:num w:numId="40">
    <w:abstractNumId w:val="4"/>
  </w:num>
  <w:num w:numId="41">
    <w:abstractNumId w:val="11"/>
  </w:num>
  <w:num w:numId="42">
    <w:abstractNumId w:val="24"/>
  </w:num>
  <w:num w:numId="43">
    <w:abstractNumId w:val="3"/>
  </w:num>
  <w:num w:numId="44">
    <w:abstractNumId w:val="27"/>
  </w:num>
  <w:num w:numId="45">
    <w:abstractNumId w:val="12"/>
    <w:lvlOverride w:ilvl="0">
      <w:startOverride w:val="1"/>
    </w:lvlOverride>
  </w:num>
  <w:num w:numId="46">
    <w:abstractNumId w:val="30"/>
  </w:num>
  <w:num w:numId="47">
    <w:abstractNumId w:val="5"/>
  </w:num>
  <w:num w:numId="48">
    <w:abstractNumId w:val="26"/>
  </w:num>
  <w:num w:numId="49">
    <w:abstractNumId w:val="32"/>
  </w:num>
  <w:num w:numId="50">
    <w:abstractNumId w:val="17"/>
  </w:num>
  <w:num w:numId="51">
    <w:abstractNumId w:val="12"/>
    <w:lvlOverride w:ilvl="0">
      <w:startOverride w:val="1"/>
    </w:lvlOverride>
  </w:num>
  <w:num w:numId="52">
    <w:abstractNumId w:val="14"/>
  </w:num>
  <w:num w:numId="53">
    <w:abstractNumId w:val="5"/>
  </w:num>
  <w:num w:numId="54">
    <w:abstractNumId w:val="5"/>
  </w:num>
  <w:num w:numId="55">
    <w:abstractNumId w:val="5"/>
  </w:num>
  <w:num w:numId="56">
    <w:abstractNumId w:val="1"/>
  </w:num>
  <w:num w:numId="57">
    <w:abstractNumId w:val="0"/>
  </w:num>
  <w:num w:numId="58">
    <w:abstractNumId w:val="5"/>
    <w:lvlOverride w:ilvl="0">
      <w:startOverride w:val="1"/>
    </w:lvlOverride>
  </w:num>
  <w:num w:numId="59">
    <w:abstractNumId w:val="12"/>
    <w:lvlOverride w:ilvl="0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1402"/>
    <w:rsid w:val="00007CBA"/>
    <w:rsid w:val="00007F67"/>
    <w:rsid w:val="00011E99"/>
    <w:rsid w:val="00012948"/>
    <w:rsid w:val="000134DA"/>
    <w:rsid w:val="000137C5"/>
    <w:rsid w:val="00013B43"/>
    <w:rsid w:val="00014D5D"/>
    <w:rsid w:val="00020527"/>
    <w:rsid w:val="00021589"/>
    <w:rsid w:val="00022136"/>
    <w:rsid w:val="0002335F"/>
    <w:rsid w:val="00023601"/>
    <w:rsid w:val="00033A36"/>
    <w:rsid w:val="00034778"/>
    <w:rsid w:val="00043030"/>
    <w:rsid w:val="00043C39"/>
    <w:rsid w:val="0004500D"/>
    <w:rsid w:val="00045139"/>
    <w:rsid w:val="00050881"/>
    <w:rsid w:val="000519E8"/>
    <w:rsid w:val="000523FE"/>
    <w:rsid w:val="00053088"/>
    <w:rsid w:val="0005334E"/>
    <w:rsid w:val="000539D5"/>
    <w:rsid w:val="00054106"/>
    <w:rsid w:val="00054552"/>
    <w:rsid w:val="00062291"/>
    <w:rsid w:val="0006233C"/>
    <w:rsid w:val="00064850"/>
    <w:rsid w:val="00066123"/>
    <w:rsid w:val="00067088"/>
    <w:rsid w:val="0006776C"/>
    <w:rsid w:val="00071936"/>
    <w:rsid w:val="00072749"/>
    <w:rsid w:val="000742AA"/>
    <w:rsid w:val="000742E9"/>
    <w:rsid w:val="00075649"/>
    <w:rsid w:val="00077266"/>
    <w:rsid w:val="00080A8A"/>
    <w:rsid w:val="00083682"/>
    <w:rsid w:val="000848B2"/>
    <w:rsid w:val="00086090"/>
    <w:rsid w:val="00086A06"/>
    <w:rsid w:val="00090200"/>
    <w:rsid w:val="000916C5"/>
    <w:rsid w:val="00092730"/>
    <w:rsid w:val="00092C82"/>
    <w:rsid w:val="00095BBA"/>
    <w:rsid w:val="00095D58"/>
    <w:rsid w:val="00096A06"/>
    <w:rsid w:val="000A1206"/>
    <w:rsid w:val="000A26A7"/>
    <w:rsid w:val="000A3640"/>
    <w:rsid w:val="000B1882"/>
    <w:rsid w:val="000B1F08"/>
    <w:rsid w:val="000B2D56"/>
    <w:rsid w:val="000B3015"/>
    <w:rsid w:val="000B3836"/>
    <w:rsid w:val="000B4FFC"/>
    <w:rsid w:val="000B6EA7"/>
    <w:rsid w:val="000C0112"/>
    <w:rsid w:val="000C169A"/>
    <w:rsid w:val="000C3717"/>
    <w:rsid w:val="000C4439"/>
    <w:rsid w:val="000C4813"/>
    <w:rsid w:val="000C5656"/>
    <w:rsid w:val="000C582B"/>
    <w:rsid w:val="000C5893"/>
    <w:rsid w:val="000D0F3D"/>
    <w:rsid w:val="000D0FAE"/>
    <w:rsid w:val="000E0B69"/>
    <w:rsid w:val="000E1669"/>
    <w:rsid w:val="000E1CF6"/>
    <w:rsid w:val="000E2044"/>
    <w:rsid w:val="000E4DBA"/>
    <w:rsid w:val="000E4E1E"/>
    <w:rsid w:val="000E7908"/>
    <w:rsid w:val="000F192C"/>
    <w:rsid w:val="000F2414"/>
    <w:rsid w:val="000F67A1"/>
    <w:rsid w:val="000F7D35"/>
    <w:rsid w:val="000F7F56"/>
    <w:rsid w:val="0010235F"/>
    <w:rsid w:val="001032E1"/>
    <w:rsid w:val="00104953"/>
    <w:rsid w:val="00104C3B"/>
    <w:rsid w:val="00110A04"/>
    <w:rsid w:val="00111A39"/>
    <w:rsid w:val="001133C5"/>
    <w:rsid w:val="00113501"/>
    <w:rsid w:val="00114F38"/>
    <w:rsid w:val="001159C2"/>
    <w:rsid w:val="00115F8A"/>
    <w:rsid w:val="001215F2"/>
    <w:rsid w:val="0012166E"/>
    <w:rsid w:val="00121C27"/>
    <w:rsid w:val="001258FD"/>
    <w:rsid w:val="001301C8"/>
    <w:rsid w:val="00133528"/>
    <w:rsid w:val="001352AE"/>
    <w:rsid w:val="001362D4"/>
    <w:rsid w:val="00140413"/>
    <w:rsid w:val="00144522"/>
    <w:rsid w:val="001509EC"/>
    <w:rsid w:val="0015118C"/>
    <w:rsid w:val="00153B28"/>
    <w:rsid w:val="00156124"/>
    <w:rsid w:val="001605AD"/>
    <w:rsid w:val="001638C9"/>
    <w:rsid w:val="001657A6"/>
    <w:rsid w:val="001708C2"/>
    <w:rsid w:val="00170DE8"/>
    <w:rsid w:val="001723D5"/>
    <w:rsid w:val="001741BD"/>
    <w:rsid w:val="00175B00"/>
    <w:rsid w:val="0018630D"/>
    <w:rsid w:val="00186355"/>
    <w:rsid w:val="001864E6"/>
    <w:rsid w:val="00186FDA"/>
    <w:rsid w:val="0018762C"/>
    <w:rsid w:val="00191CC9"/>
    <w:rsid w:val="001945FA"/>
    <w:rsid w:val="0019475F"/>
    <w:rsid w:val="00194F1D"/>
    <w:rsid w:val="001A5133"/>
    <w:rsid w:val="001A6802"/>
    <w:rsid w:val="001B0794"/>
    <w:rsid w:val="001B090D"/>
    <w:rsid w:val="001B1487"/>
    <w:rsid w:val="001B2066"/>
    <w:rsid w:val="001C1C99"/>
    <w:rsid w:val="001C35E3"/>
    <w:rsid w:val="001C5188"/>
    <w:rsid w:val="001C5C72"/>
    <w:rsid w:val="001C6B70"/>
    <w:rsid w:val="001D005D"/>
    <w:rsid w:val="001D047B"/>
    <w:rsid w:val="001D0518"/>
    <w:rsid w:val="001D1DEE"/>
    <w:rsid w:val="001D30EB"/>
    <w:rsid w:val="001D3653"/>
    <w:rsid w:val="001D5567"/>
    <w:rsid w:val="001D5A44"/>
    <w:rsid w:val="001D641A"/>
    <w:rsid w:val="001D6CD7"/>
    <w:rsid w:val="001E081C"/>
    <w:rsid w:val="001E189E"/>
    <w:rsid w:val="001E1FF8"/>
    <w:rsid w:val="001E4020"/>
    <w:rsid w:val="001E76BD"/>
    <w:rsid w:val="001E78AD"/>
    <w:rsid w:val="001F0991"/>
    <w:rsid w:val="001F6C4F"/>
    <w:rsid w:val="002009F7"/>
    <w:rsid w:val="0020138A"/>
    <w:rsid w:val="00202BA5"/>
    <w:rsid w:val="002041CD"/>
    <w:rsid w:val="00205AE5"/>
    <w:rsid w:val="00207C8B"/>
    <w:rsid w:val="00214886"/>
    <w:rsid w:val="002230FF"/>
    <w:rsid w:val="00224590"/>
    <w:rsid w:val="002306FF"/>
    <w:rsid w:val="00231919"/>
    <w:rsid w:val="00233544"/>
    <w:rsid w:val="00233C16"/>
    <w:rsid w:val="00240A89"/>
    <w:rsid w:val="00240FF7"/>
    <w:rsid w:val="00242FCE"/>
    <w:rsid w:val="0024557C"/>
    <w:rsid w:val="00245B86"/>
    <w:rsid w:val="002516D4"/>
    <w:rsid w:val="00251A7C"/>
    <w:rsid w:val="00251DAB"/>
    <w:rsid w:val="00252D78"/>
    <w:rsid w:val="00253005"/>
    <w:rsid w:val="00256B8B"/>
    <w:rsid w:val="002619B1"/>
    <w:rsid w:val="002635F4"/>
    <w:rsid w:val="00263AF5"/>
    <w:rsid w:val="00265DEE"/>
    <w:rsid w:val="002661A8"/>
    <w:rsid w:val="00273DBE"/>
    <w:rsid w:val="002748DB"/>
    <w:rsid w:val="00274FEB"/>
    <w:rsid w:val="00276DB9"/>
    <w:rsid w:val="00277421"/>
    <w:rsid w:val="0028184C"/>
    <w:rsid w:val="00283DD6"/>
    <w:rsid w:val="00284B9E"/>
    <w:rsid w:val="00284FC0"/>
    <w:rsid w:val="00286A36"/>
    <w:rsid w:val="00290317"/>
    <w:rsid w:val="00290F88"/>
    <w:rsid w:val="0029527C"/>
    <w:rsid w:val="00297DC5"/>
    <w:rsid w:val="002A0451"/>
    <w:rsid w:val="002A21DE"/>
    <w:rsid w:val="002A5337"/>
    <w:rsid w:val="002A675A"/>
    <w:rsid w:val="002B0366"/>
    <w:rsid w:val="002B2400"/>
    <w:rsid w:val="002B41D4"/>
    <w:rsid w:val="002C0245"/>
    <w:rsid w:val="002C02FB"/>
    <w:rsid w:val="002C5F0D"/>
    <w:rsid w:val="002D5EB9"/>
    <w:rsid w:val="002D632F"/>
    <w:rsid w:val="002E27AE"/>
    <w:rsid w:val="002E4C92"/>
    <w:rsid w:val="002F03D2"/>
    <w:rsid w:val="002F1147"/>
    <w:rsid w:val="002F3D65"/>
    <w:rsid w:val="00300409"/>
    <w:rsid w:val="003067BF"/>
    <w:rsid w:val="00311E81"/>
    <w:rsid w:val="00312C33"/>
    <w:rsid w:val="00317257"/>
    <w:rsid w:val="003172F2"/>
    <w:rsid w:val="00317306"/>
    <w:rsid w:val="003201AC"/>
    <w:rsid w:val="0032047A"/>
    <w:rsid w:val="003208CF"/>
    <w:rsid w:val="0032239A"/>
    <w:rsid w:val="00323AA6"/>
    <w:rsid w:val="00327AFA"/>
    <w:rsid w:val="00335168"/>
    <w:rsid w:val="00336101"/>
    <w:rsid w:val="003368BF"/>
    <w:rsid w:val="00341003"/>
    <w:rsid w:val="003440A9"/>
    <w:rsid w:val="00347761"/>
    <w:rsid w:val="00347DD9"/>
    <w:rsid w:val="00350B03"/>
    <w:rsid w:val="00351757"/>
    <w:rsid w:val="00351804"/>
    <w:rsid w:val="00351F18"/>
    <w:rsid w:val="00352361"/>
    <w:rsid w:val="00352D2E"/>
    <w:rsid w:val="00353081"/>
    <w:rsid w:val="00355B9E"/>
    <w:rsid w:val="00356656"/>
    <w:rsid w:val="00362010"/>
    <w:rsid w:val="00362DFE"/>
    <w:rsid w:val="00364CD8"/>
    <w:rsid w:val="00370C53"/>
    <w:rsid w:val="00372441"/>
    <w:rsid w:val="0037258B"/>
    <w:rsid w:val="00374C35"/>
    <w:rsid w:val="00374F11"/>
    <w:rsid w:val="00376DBB"/>
    <w:rsid w:val="00377C5B"/>
    <w:rsid w:val="00380A3E"/>
    <w:rsid w:val="003822E1"/>
    <w:rsid w:val="003826B0"/>
    <w:rsid w:val="00382F65"/>
    <w:rsid w:val="00383685"/>
    <w:rsid w:val="0038382F"/>
    <w:rsid w:val="00383A2A"/>
    <w:rsid w:val="00383A3E"/>
    <w:rsid w:val="003851B2"/>
    <w:rsid w:val="003854D3"/>
    <w:rsid w:val="0038635E"/>
    <w:rsid w:val="00386CBD"/>
    <w:rsid w:val="003908D2"/>
    <w:rsid w:val="00391FBC"/>
    <w:rsid w:val="003924D0"/>
    <w:rsid w:val="0039525B"/>
    <w:rsid w:val="003A0D42"/>
    <w:rsid w:val="003A3AB0"/>
    <w:rsid w:val="003A5C37"/>
    <w:rsid w:val="003A6785"/>
    <w:rsid w:val="003B07D1"/>
    <w:rsid w:val="003B3DB9"/>
    <w:rsid w:val="003B4931"/>
    <w:rsid w:val="003B7219"/>
    <w:rsid w:val="003B7708"/>
    <w:rsid w:val="003C2022"/>
    <w:rsid w:val="003C24AD"/>
    <w:rsid w:val="003C6FD2"/>
    <w:rsid w:val="003D2601"/>
    <w:rsid w:val="003D27E3"/>
    <w:rsid w:val="003D28E6"/>
    <w:rsid w:val="003D3E58"/>
    <w:rsid w:val="003D7469"/>
    <w:rsid w:val="003E207B"/>
    <w:rsid w:val="003E2C04"/>
    <w:rsid w:val="003E3757"/>
    <w:rsid w:val="003E693A"/>
    <w:rsid w:val="003F1228"/>
    <w:rsid w:val="003F27BB"/>
    <w:rsid w:val="003F2833"/>
    <w:rsid w:val="003F2BDC"/>
    <w:rsid w:val="003F3D65"/>
    <w:rsid w:val="004035C5"/>
    <w:rsid w:val="00405198"/>
    <w:rsid w:val="00412A7D"/>
    <w:rsid w:val="00413F24"/>
    <w:rsid w:val="004179FD"/>
    <w:rsid w:val="00421157"/>
    <w:rsid w:val="0042474E"/>
    <w:rsid w:val="00425BA7"/>
    <w:rsid w:val="00425E32"/>
    <w:rsid w:val="00432D7F"/>
    <w:rsid w:val="00433586"/>
    <w:rsid w:val="00436909"/>
    <w:rsid w:val="00437FD0"/>
    <w:rsid w:val="004402AC"/>
    <w:rsid w:val="004403EE"/>
    <w:rsid w:val="00440948"/>
    <w:rsid w:val="00444616"/>
    <w:rsid w:val="00444694"/>
    <w:rsid w:val="004452D5"/>
    <w:rsid w:val="00446201"/>
    <w:rsid w:val="00446AFD"/>
    <w:rsid w:val="004476AD"/>
    <w:rsid w:val="004528AF"/>
    <w:rsid w:val="004536D7"/>
    <w:rsid w:val="00454A31"/>
    <w:rsid w:val="00455096"/>
    <w:rsid w:val="00455FC4"/>
    <w:rsid w:val="00456F88"/>
    <w:rsid w:val="0045725F"/>
    <w:rsid w:val="00457F5C"/>
    <w:rsid w:val="00457F98"/>
    <w:rsid w:val="00460A2F"/>
    <w:rsid w:val="00465C6D"/>
    <w:rsid w:val="0047061E"/>
    <w:rsid w:val="00470E93"/>
    <w:rsid w:val="004713C2"/>
    <w:rsid w:val="00472391"/>
    <w:rsid w:val="00472F34"/>
    <w:rsid w:val="0047469B"/>
    <w:rsid w:val="00477B3D"/>
    <w:rsid w:val="00482C15"/>
    <w:rsid w:val="004838D9"/>
    <w:rsid w:val="00484822"/>
    <w:rsid w:val="00484F90"/>
    <w:rsid w:val="00485D55"/>
    <w:rsid w:val="00493CA8"/>
    <w:rsid w:val="0049409E"/>
    <w:rsid w:val="00495FDA"/>
    <w:rsid w:val="004A016E"/>
    <w:rsid w:val="004A3F30"/>
    <w:rsid w:val="004A58E0"/>
    <w:rsid w:val="004A5CFA"/>
    <w:rsid w:val="004A619A"/>
    <w:rsid w:val="004B22B8"/>
    <w:rsid w:val="004B3A14"/>
    <w:rsid w:val="004B3E41"/>
    <w:rsid w:val="004B552B"/>
    <w:rsid w:val="004B7C07"/>
    <w:rsid w:val="004C0503"/>
    <w:rsid w:val="004C457A"/>
    <w:rsid w:val="004C602D"/>
    <w:rsid w:val="004C6CD8"/>
    <w:rsid w:val="004D1B02"/>
    <w:rsid w:val="004D487C"/>
    <w:rsid w:val="004D4E22"/>
    <w:rsid w:val="004D5473"/>
    <w:rsid w:val="004D7029"/>
    <w:rsid w:val="004E0441"/>
    <w:rsid w:val="004E1B0E"/>
    <w:rsid w:val="004E770B"/>
    <w:rsid w:val="004F06BB"/>
    <w:rsid w:val="004F2363"/>
    <w:rsid w:val="004F295D"/>
    <w:rsid w:val="004F2969"/>
    <w:rsid w:val="004F2B27"/>
    <w:rsid w:val="004F353F"/>
    <w:rsid w:val="004F407B"/>
    <w:rsid w:val="004F5B8B"/>
    <w:rsid w:val="004F62CF"/>
    <w:rsid w:val="00502FAD"/>
    <w:rsid w:val="00503195"/>
    <w:rsid w:val="0050323E"/>
    <w:rsid w:val="00507DF5"/>
    <w:rsid w:val="00511D5C"/>
    <w:rsid w:val="005121D2"/>
    <w:rsid w:val="00513C73"/>
    <w:rsid w:val="00513E84"/>
    <w:rsid w:val="00517918"/>
    <w:rsid w:val="00522019"/>
    <w:rsid w:val="0052385B"/>
    <w:rsid w:val="0052413A"/>
    <w:rsid w:val="00525B87"/>
    <w:rsid w:val="0052748A"/>
    <w:rsid w:val="0052769A"/>
    <w:rsid w:val="00527DE8"/>
    <w:rsid w:val="0053097D"/>
    <w:rsid w:val="005324A5"/>
    <w:rsid w:val="005338B9"/>
    <w:rsid w:val="00541A6A"/>
    <w:rsid w:val="00541B1F"/>
    <w:rsid w:val="00542523"/>
    <w:rsid w:val="0054606F"/>
    <w:rsid w:val="00546D71"/>
    <w:rsid w:val="0054791C"/>
    <w:rsid w:val="0055340D"/>
    <w:rsid w:val="00553562"/>
    <w:rsid w:val="0055385D"/>
    <w:rsid w:val="00553ACA"/>
    <w:rsid w:val="00553D52"/>
    <w:rsid w:val="00561640"/>
    <w:rsid w:val="00561BED"/>
    <w:rsid w:val="00561CFC"/>
    <w:rsid w:val="00562D93"/>
    <w:rsid w:val="00563CB8"/>
    <w:rsid w:val="00563DC9"/>
    <w:rsid w:val="005641F5"/>
    <w:rsid w:val="00564626"/>
    <w:rsid w:val="00565871"/>
    <w:rsid w:val="0056622A"/>
    <w:rsid w:val="00567E85"/>
    <w:rsid w:val="00570901"/>
    <w:rsid w:val="00576E4A"/>
    <w:rsid w:val="00577429"/>
    <w:rsid w:val="00581401"/>
    <w:rsid w:val="005837C5"/>
    <w:rsid w:val="00583FF7"/>
    <w:rsid w:val="00585771"/>
    <w:rsid w:val="00585A0D"/>
    <w:rsid w:val="00586C65"/>
    <w:rsid w:val="005875D8"/>
    <w:rsid w:val="00591208"/>
    <w:rsid w:val="00592761"/>
    <w:rsid w:val="00592D68"/>
    <w:rsid w:val="00593697"/>
    <w:rsid w:val="00595905"/>
    <w:rsid w:val="005960E3"/>
    <w:rsid w:val="0059796B"/>
    <w:rsid w:val="005A7968"/>
    <w:rsid w:val="005A798D"/>
    <w:rsid w:val="005B22B2"/>
    <w:rsid w:val="005B2E9D"/>
    <w:rsid w:val="005B3D78"/>
    <w:rsid w:val="005B7E6E"/>
    <w:rsid w:val="005C223D"/>
    <w:rsid w:val="005C4572"/>
    <w:rsid w:val="005C7B5F"/>
    <w:rsid w:val="005D181B"/>
    <w:rsid w:val="005D2815"/>
    <w:rsid w:val="005D7630"/>
    <w:rsid w:val="005D7C72"/>
    <w:rsid w:val="005E2E87"/>
    <w:rsid w:val="005F147C"/>
    <w:rsid w:val="005F5D35"/>
    <w:rsid w:val="005F657A"/>
    <w:rsid w:val="00601E80"/>
    <w:rsid w:val="00602A27"/>
    <w:rsid w:val="00603970"/>
    <w:rsid w:val="006044CD"/>
    <w:rsid w:val="00607856"/>
    <w:rsid w:val="00610D9C"/>
    <w:rsid w:val="006118D4"/>
    <w:rsid w:val="006124D5"/>
    <w:rsid w:val="00615447"/>
    <w:rsid w:val="0061668C"/>
    <w:rsid w:val="0062277B"/>
    <w:rsid w:val="0062502C"/>
    <w:rsid w:val="006261E1"/>
    <w:rsid w:val="00626218"/>
    <w:rsid w:val="00626E4A"/>
    <w:rsid w:val="00627A46"/>
    <w:rsid w:val="00634588"/>
    <w:rsid w:val="006356BE"/>
    <w:rsid w:val="0063653C"/>
    <w:rsid w:val="006375AF"/>
    <w:rsid w:val="006412D0"/>
    <w:rsid w:val="00641DC5"/>
    <w:rsid w:val="00643550"/>
    <w:rsid w:val="00644540"/>
    <w:rsid w:val="00645532"/>
    <w:rsid w:val="00645C3F"/>
    <w:rsid w:val="00646088"/>
    <w:rsid w:val="00646E43"/>
    <w:rsid w:val="0064723E"/>
    <w:rsid w:val="0065050A"/>
    <w:rsid w:val="00651092"/>
    <w:rsid w:val="00652A90"/>
    <w:rsid w:val="00653ABB"/>
    <w:rsid w:val="0066211A"/>
    <w:rsid w:val="00663A00"/>
    <w:rsid w:val="006661AE"/>
    <w:rsid w:val="006667A3"/>
    <w:rsid w:val="00667C87"/>
    <w:rsid w:val="006728A0"/>
    <w:rsid w:val="00675535"/>
    <w:rsid w:val="00676F71"/>
    <w:rsid w:val="0068018C"/>
    <w:rsid w:val="00684179"/>
    <w:rsid w:val="00691380"/>
    <w:rsid w:val="00691917"/>
    <w:rsid w:val="0069247E"/>
    <w:rsid w:val="00696173"/>
    <w:rsid w:val="006A09D6"/>
    <w:rsid w:val="006A2FC2"/>
    <w:rsid w:val="006A3594"/>
    <w:rsid w:val="006A3E12"/>
    <w:rsid w:val="006B0089"/>
    <w:rsid w:val="006B0965"/>
    <w:rsid w:val="006B172E"/>
    <w:rsid w:val="006B61DD"/>
    <w:rsid w:val="006B7CCB"/>
    <w:rsid w:val="006C0827"/>
    <w:rsid w:val="006D2631"/>
    <w:rsid w:val="006D5208"/>
    <w:rsid w:val="006D6440"/>
    <w:rsid w:val="006E3250"/>
    <w:rsid w:val="006E4C84"/>
    <w:rsid w:val="006E7A67"/>
    <w:rsid w:val="006E7D3C"/>
    <w:rsid w:val="006E7F66"/>
    <w:rsid w:val="006F06D3"/>
    <w:rsid w:val="006F3BD7"/>
    <w:rsid w:val="006F7417"/>
    <w:rsid w:val="0070200E"/>
    <w:rsid w:val="007022BF"/>
    <w:rsid w:val="00702494"/>
    <w:rsid w:val="00704820"/>
    <w:rsid w:val="00706F7A"/>
    <w:rsid w:val="00707670"/>
    <w:rsid w:val="0071568E"/>
    <w:rsid w:val="007156E6"/>
    <w:rsid w:val="007221B3"/>
    <w:rsid w:val="0072440D"/>
    <w:rsid w:val="00724760"/>
    <w:rsid w:val="00727236"/>
    <w:rsid w:val="0072789C"/>
    <w:rsid w:val="00730123"/>
    <w:rsid w:val="0073192F"/>
    <w:rsid w:val="00733C74"/>
    <w:rsid w:val="00737E01"/>
    <w:rsid w:val="00737EE7"/>
    <w:rsid w:val="00741955"/>
    <w:rsid w:val="00753946"/>
    <w:rsid w:val="0075467A"/>
    <w:rsid w:val="007623AE"/>
    <w:rsid w:val="0076269D"/>
    <w:rsid w:val="00766336"/>
    <w:rsid w:val="0076658E"/>
    <w:rsid w:val="00766891"/>
    <w:rsid w:val="00767641"/>
    <w:rsid w:val="00772135"/>
    <w:rsid w:val="00772FCA"/>
    <w:rsid w:val="007732A3"/>
    <w:rsid w:val="0077398D"/>
    <w:rsid w:val="007779EE"/>
    <w:rsid w:val="00781C3D"/>
    <w:rsid w:val="007915F1"/>
    <w:rsid w:val="00796D57"/>
    <w:rsid w:val="00797281"/>
    <w:rsid w:val="007A7D2F"/>
    <w:rsid w:val="007B0EDD"/>
    <w:rsid w:val="007B6AC8"/>
    <w:rsid w:val="007B764B"/>
    <w:rsid w:val="007C0D2F"/>
    <w:rsid w:val="007C14C1"/>
    <w:rsid w:val="007C550E"/>
    <w:rsid w:val="007C7404"/>
    <w:rsid w:val="007C7DB0"/>
    <w:rsid w:val="007D1715"/>
    <w:rsid w:val="007D2420"/>
    <w:rsid w:val="007D2F12"/>
    <w:rsid w:val="007E2C11"/>
    <w:rsid w:val="007E388C"/>
    <w:rsid w:val="007E3AD6"/>
    <w:rsid w:val="007E463A"/>
    <w:rsid w:val="007E4E86"/>
    <w:rsid w:val="007E7665"/>
    <w:rsid w:val="007F5A10"/>
    <w:rsid w:val="007F76FC"/>
    <w:rsid w:val="00804C62"/>
    <w:rsid w:val="00807C6B"/>
    <w:rsid w:val="00810827"/>
    <w:rsid w:val="008139A0"/>
    <w:rsid w:val="008151E5"/>
    <w:rsid w:val="00820EF9"/>
    <w:rsid w:val="0082210F"/>
    <w:rsid w:val="00822646"/>
    <w:rsid w:val="008228CD"/>
    <w:rsid w:val="00824124"/>
    <w:rsid w:val="00825ADC"/>
    <w:rsid w:val="008261D2"/>
    <w:rsid w:val="00831B4C"/>
    <w:rsid w:val="008336BE"/>
    <w:rsid w:val="00833B7F"/>
    <w:rsid w:val="00835495"/>
    <w:rsid w:val="00841078"/>
    <w:rsid w:val="00842E3D"/>
    <w:rsid w:val="008434A6"/>
    <w:rsid w:val="0084358E"/>
    <w:rsid w:val="00847A03"/>
    <w:rsid w:val="00850CE6"/>
    <w:rsid w:val="00852B3B"/>
    <w:rsid w:val="00853CF3"/>
    <w:rsid w:val="00855174"/>
    <w:rsid w:val="008572B2"/>
    <w:rsid w:val="00860A88"/>
    <w:rsid w:val="00863CFB"/>
    <w:rsid w:val="00864A80"/>
    <w:rsid w:val="00871876"/>
    <w:rsid w:val="00872393"/>
    <w:rsid w:val="008732CC"/>
    <w:rsid w:val="00874AF4"/>
    <w:rsid w:val="00875D0A"/>
    <w:rsid w:val="00876632"/>
    <w:rsid w:val="00880AAD"/>
    <w:rsid w:val="00881F8D"/>
    <w:rsid w:val="0088285A"/>
    <w:rsid w:val="00883761"/>
    <w:rsid w:val="00884AB6"/>
    <w:rsid w:val="008879E0"/>
    <w:rsid w:val="008907FE"/>
    <w:rsid w:val="00892B5B"/>
    <w:rsid w:val="00893930"/>
    <w:rsid w:val="00893A85"/>
    <w:rsid w:val="00896F77"/>
    <w:rsid w:val="00897E18"/>
    <w:rsid w:val="008A0F55"/>
    <w:rsid w:val="008A1774"/>
    <w:rsid w:val="008A1B2A"/>
    <w:rsid w:val="008A2DA8"/>
    <w:rsid w:val="008A3FBA"/>
    <w:rsid w:val="008A4FA6"/>
    <w:rsid w:val="008A5010"/>
    <w:rsid w:val="008A7263"/>
    <w:rsid w:val="008B1311"/>
    <w:rsid w:val="008B31CC"/>
    <w:rsid w:val="008B456C"/>
    <w:rsid w:val="008B5DE1"/>
    <w:rsid w:val="008C1826"/>
    <w:rsid w:val="008C2DE1"/>
    <w:rsid w:val="008C54EE"/>
    <w:rsid w:val="008C7679"/>
    <w:rsid w:val="008D0396"/>
    <w:rsid w:val="008D3566"/>
    <w:rsid w:val="008D3758"/>
    <w:rsid w:val="008D3BC0"/>
    <w:rsid w:val="008D5D6B"/>
    <w:rsid w:val="008E2157"/>
    <w:rsid w:val="008E2674"/>
    <w:rsid w:val="008E5760"/>
    <w:rsid w:val="008F20D9"/>
    <w:rsid w:val="008F4E93"/>
    <w:rsid w:val="009000C9"/>
    <w:rsid w:val="00900F4B"/>
    <w:rsid w:val="0090189F"/>
    <w:rsid w:val="00903656"/>
    <w:rsid w:val="009062ED"/>
    <w:rsid w:val="009074AE"/>
    <w:rsid w:val="0090775D"/>
    <w:rsid w:val="00907FBA"/>
    <w:rsid w:val="00910D8E"/>
    <w:rsid w:val="009135A8"/>
    <w:rsid w:val="009153A2"/>
    <w:rsid w:val="0091722D"/>
    <w:rsid w:val="009216F5"/>
    <w:rsid w:val="00922E34"/>
    <w:rsid w:val="00933100"/>
    <w:rsid w:val="009403AD"/>
    <w:rsid w:val="0094277B"/>
    <w:rsid w:val="00954C9B"/>
    <w:rsid w:val="00954FE5"/>
    <w:rsid w:val="0096199D"/>
    <w:rsid w:val="00961A03"/>
    <w:rsid w:val="00962802"/>
    <w:rsid w:val="00962E0C"/>
    <w:rsid w:val="00963CDE"/>
    <w:rsid w:val="00966D72"/>
    <w:rsid w:val="00967678"/>
    <w:rsid w:val="0097223B"/>
    <w:rsid w:val="009732BA"/>
    <w:rsid w:val="0097337D"/>
    <w:rsid w:val="0097404F"/>
    <w:rsid w:val="00981435"/>
    <w:rsid w:val="0098148A"/>
    <w:rsid w:val="009859E7"/>
    <w:rsid w:val="009A0390"/>
    <w:rsid w:val="009A18D3"/>
    <w:rsid w:val="009A1E48"/>
    <w:rsid w:val="009A3159"/>
    <w:rsid w:val="009A5A4D"/>
    <w:rsid w:val="009A6D79"/>
    <w:rsid w:val="009B0F30"/>
    <w:rsid w:val="009B12D0"/>
    <w:rsid w:val="009B14FE"/>
    <w:rsid w:val="009B1DAA"/>
    <w:rsid w:val="009B4FE2"/>
    <w:rsid w:val="009B7417"/>
    <w:rsid w:val="009B7C85"/>
    <w:rsid w:val="009C0391"/>
    <w:rsid w:val="009C077E"/>
    <w:rsid w:val="009C2014"/>
    <w:rsid w:val="009C2CFC"/>
    <w:rsid w:val="009C3C09"/>
    <w:rsid w:val="009D0B7A"/>
    <w:rsid w:val="009D12CD"/>
    <w:rsid w:val="009D12D7"/>
    <w:rsid w:val="009D2572"/>
    <w:rsid w:val="009D29BB"/>
    <w:rsid w:val="009D6E45"/>
    <w:rsid w:val="009D71D0"/>
    <w:rsid w:val="009D7A9B"/>
    <w:rsid w:val="009E04A8"/>
    <w:rsid w:val="009E05C6"/>
    <w:rsid w:val="009E07D2"/>
    <w:rsid w:val="009E1FEF"/>
    <w:rsid w:val="009E6B1C"/>
    <w:rsid w:val="009E734D"/>
    <w:rsid w:val="009F0A03"/>
    <w:rsid w:val="009F31D9"/>
    <w:rsid w:val="009F3652"/>
    <w:rsid w:val="009F3F60"/>
    <w:rsid w:val="00A0052C"/>
    <w:rsid w:val="00A0163A"/>
    <w:rsid w:val="00A017FC"/>
    <w:rsid w:val="00A03AAC"/>
    <w:rsid w:val="00A05620"/>
    <w:rsid w:val="00A07A4E"/>
    <w:rsid w:val="00A14F0A"/>
    <w:rsid w:val="00A170B3"/>
    <w:rsid w:val="00A1717E"/>
    <w:rsid w:val="00A2106E"/>
    <w:rsid w:val="00A225D1"/>
    <w:rsid w:val="00A22C16"/>
    <w:rsid w:val="00A24DAB"/>
    <w:rsid w:val="00A253EA"/>
    <w:rsid w:val="00A2730A"/>
    <w:rsid w:val="00A30243"/>
    <w:rsid w:val="00A32E00"/>
    <w:rsid w:val="00A36BC8"/>
    <w:rsid w:val="00A373E9"/>
    <w:rsid w:val="00A401AF"/>
    <w:rsid w:val="00A4462B"/>
    <w:rsid w:val="00A45BF5"/>
    <w:rsid w:val="00A45E9D"/>
    <w:rsid w:val="00A4688B"/>
    <w:rsid w:val="00A65FF8"/>
    <w:rsid w:val="00A70EF1"/>
    <w:rsid w:val="00A71E63"/>
    <w:rsid w:val="00A75116"/>
    <w:rsid w:val="00A7590E"/>
    <w:rsid w:val="00A77308"/>
    <w:rsid w:val="00A85151"/>
    <w:rsid w:val="00A908AC"/>
    <w:rsid w:val="00A948B3"/>
    <w:rsid w:val="00A95E92"/>
    <w:rsid w:val="00A968CA"/>
    <w:rsid w:val="00A96EC8"/>
    <w:rsid w:val="00AA0831"/>
    <w:rsid w:val="00AA1DC0"/>
    <w:rsid w:val="00AA45FA"/>
    <w:rsid w:val="00AA5F43"/>
    <w:rsid w:val="00AA61DC"/>
    <w:rsid w:val="00AC1DE5"/>
    <w:rsid w:val="00AC1F67"/>
    <w:rsid w:val="00AC2AB4"/>
    <w:rsid w:val="00AC6562"/>
    <w:rsid w:val="00AD1A3F"/>
    <w:rsid w:val="00AD26BF"/>
    <w:rsid w:val="00AD2E2E"/>
    <w:rsid w:val="00AD440D"/>
    <w:rsid w:val="00AE01CA"/>
    <w:rsid w:val="00AE0AF9"/>
    <w:rsid w:val="00AE14E2"/>
    <w:rsid w:val="00AE3076"/>
    <w:rsid w:val="00AF1F26"/>
    <w:rsid w:val="00AF3526"/>
    <w:rsid w:val="00AF5A63"/>
    <w:rsid w:val="00B00346"/>
    <w:rsid w:val="00B01708"/>
    <w:rsid w:val="00B01D3F"/>
    <w:rsid w:val="00B02221"/>
    <w:rsid w:val="00B044E7"/>
    <w:rsid w:val="00B06997"/>
    <w:rsid w:val="00B10BF2"/>
    <w:rsid w:val="00B1409A"/>
    <w:rsid w:val="00B14977"/>
    <w:rsid w:val="00B15CE6"/>
    <w:rsid w:val="00B205E1"/>
    <w:rsid w:val="00B20B90"/>
    <w:rsid w:val="00B231AA"/>
    <w:rsid w:val="00B23AD5"/>
    <w:rsid w:val="00B262DD"/>
    <w:rsid w:val="00B27639"/>
    <w:rsid w:val="00B30BF5"/>
    <w:rsid w:val="00B31BA2"/>
    <w:rsid w:val="00B32A7D"/>
    <w:rsid w:val="00B3643D"/>
    <w:rsid w:val="00B37ABB"/>
    <w:rsid w:val="00B411C6"/>
    <w:rsid w:val="00B41A95"/>
    <w:rsid w:val="00B43704"/>
    <w:rsid w:val="00B46C45"/>
    <w:rsid w:val="00B51E43"/>
    <w:rsid w:val="00B5282C"/>
    <w:rsid w:val="00B57A9F"/>
    <w:rsid w:val="00B6092B"/>
    <w:rsid w:val="00B63432"/>
    <w:rsid w:val="00B66DB7"/>
    <w:rsid w:val="00B71188"/>
    <w:rsid w:val="00B7194E"/>
    <w:rsid w:val="00B73937"/>
    <w:rsid w:val="00B75489"/>
    <w:rsid w:val="00B76D5E"/>
    <w:rsid w:val="00B80621"/>
    <w:rsid w:val="00B86735"/>
    <w:rsid w:val="00B87C61"/>
    <w:rsid w:val="00B90E62"/>
    <w:rsid w:val="00B91510"/>
    <w:rsid w:val="00B9293D"/>
    <w:rsid w:val="00B9335E"/>
    <w:rsid w:val="00B93C3B"/>
    <w:rsid w:val="00B93D53"/>
    <w:rsid w:val="00B967A5"/>
    <w:rsid w:val="00BA15C4"/>
    <w:rsid w:val="00BA4548"/>
    <w:rsid w:val="00BA46CB"/>
    <w:rsid w:val="00BA536E"/>
    <w:rsid w:val="00BA6CB2"/>
    <w:rsid w:val="00BA6E05"/>
    <w:rsid w:val="00BA7D7C"/>
    <w:rsid w:val="00BA7F1C"/>
    <w:rsid w:val="00BB2112"/>
    <w:rsid w:val="00BB27BA"/>
    <w:rsid w:val="00BB3487"/>
    <w:rsid w:val="00BB459A"/>
    <w:rsid w:val="00BB4709"/>
    <w:rsid w:val="00BB70D1"/>
    <w:rsid w:val="00BC0453"/>
    <w:rsid w:val="00BC1873"/>
    <w:rsid w:val="00BC3880"/>
    <w:rsid w:val="00BC4ADE"/>
    <w:rsid w:val="00BC54A9"/>
    <w:rsid w:val="00BC55AA"/>
    <w:rsid w:val="00BC5B99"/>
    <w:rsid w:val="00BC6E1B"/>
    <w:rsid w:val="00BC7CF2"/>
    <w:rsid w:val="00BD098C"/>
    <w:rsid w:val="00BD28C9"/>
    <w:rsid w:val="00BD3E0D"/>
    <w:rsid w:val="00BD4979"/>
    <w:rsid w:val="00BD7AD4"/>
    <w:rsid w:val="00BD7B6F"/>
    <w:rsid w:val="00BE4EBD"/>
    <w:rsid w:val="00BE6EFE"/>
    <w:rsid w:val="00BF0AAD"/>
    <w:rsid w:val="00BF6DF5"/>
    <w:rsid w:val="00C02040"/>
    <w:rsid w:val="00C02E75"/>
    <w:rsid w:val="00C02EC2"/>
    <w:rsid w:val="00C038F8"/>
    <w:rsid w:val="00C07D88"/>
    <w:rsid w:val="00C1382D"/>
    <w:rsid w:val="00C141D1"/>
    <w:rsid w:val="00C14BDC"/>
    <w:rsid w:val="00C151B9"/>
    <w:rsid w:val="00C15777"/>
    <w:rsid w:val="00C17AF0"/>
    <w:rsid w:val="00C208EA"/>
    <w:rsid w:val="00C2283A"/>
    <w:rsid w:val="00C252EF"/>
    <w:rsid w:val="00C253AF"/>
    <w:rsid w:val="00C25C43"/>
    <w:rsid w:val="00C27E34"/>
    <w:rsid w:val="00C328C0"/>
    <w:rsid w:val="00C33EE5"/>
    <w:rsid w:val="00C34B83"/>
    <w:rsid w:val="00C41544"/>
    <w:rsid w:val="00C419B4"/>
    <w:rsid w:val="00C424C5"/>
    <w:rsid w:val="00C42C58"/>
    <w:rsid w:val="00C441BE"/>
    <w:rsid w:val="00C4787C"/>
    <w:rsid w:val="00C5015B"/>
    <w:rsid w:val="00C512D6"/>
    <w:rsid w:val="00C52FD6"/>
    <w:rsid w:val="00C57EE3"/>
    <w:rsid w:val="00C7162F"/>
    <w:rsid w:val="00C72DE5"/>
    <w:rsid w:val="00C745E1"/>
    <w:rsid w:val="00C80494"/>
    <w:rsid w:val="00C81865"/>
    <w:rsid w:val="00C82D01"/>
    <w:rsid w:val="00C82D15"/>
    <w:rsid w:val="00C86960"/>
    <w:rsid w:val="00C920BB"/>
    <w:rsid w:val="00C9359E"/>
    <w:rsid w:val="00C94AC5"/>
    <w:rsid w:val="00C9623A"/>
    <w:rsid w:val="00CA2572"/>
    <w:rsid w:val="00CA53F8"/>
    <w:rsid w:val="00CA6CC7"/>
    <w:rsid w:val="00CB4706"/>
    <w:rsid w:val="00CB4795"/>
    <w:rsid w:val="00CC1BF8"/>
    <w:rsid w:val="00CC2982"/>
    <w:rsid w:val="00CC3C40"/>
    <w:rsid w:val="00CC605E"/>
    <w:rsid w:val="00CC6E60"/>
    <w:rsid w:val="00CC756E"/>
    <w:rsid w:val="00CD0A5A"/>
    <w:rsid w:val="00CD1A34"/>
    <w:rsid w:val="00CD3A81"/>
    <w:rsid w:val="00CD4793"/>
    <w:rsid w:val="00CD61D0"/>
    <w:rsid w:val="00CE0D9A"/>
    <w:rsid w:val="00CE0EDE"/>
    <w:rsid w:val="00CE2836"/>
    <w:rsid w:val="00CE38A1"/>
    <w:rsid w:val="00CE5334"/>
    <w:rsid w:val="00CE5BEA"/>
    <w:rsid w:val="00CE6C54"/>
    <w:rsid w:val="00CF08C2"/>
    <w:rsid w:val="00CF2582"/>
    <w:rsid w:val="00CF2986"/>
    <w:rsid w:val="00CF498D"/>
    <w:rsid w:val="00D031FA"/>
    <w:rsid w:val="00D066C5"/>
    <w:rsid w:val="00D222A8"/>
    <w:rsid w:val="00D22B12"/>
    <w:rsid w:val="00D2326D"/>
    <w:rsid w:val="00D23F89"/>
    <w:rsid w:val="00D24F0A"/>
    <w:rsid w:val="00D257AC"/>
    <w:rsid w:val="00D3179C"/>
    <w:rsid w:val="00D31C4D"/>
    <w:rsid w:val="00D3492E"/>
    <w:rsid w:val="00D36C11"/>
    <w:rsid w:val="00D374A9"/>
    <w:rsid w:val="00D37533"/>
    <w:rsid w:val="00D41B54"/>
    <w:rsid w:val="00D4259D"/>
    <w:rsid w:val="00D44710"/>
    <w:rsid w:val="00D4670D"/>
    <w:rsid w:val="00D4700C"/>
    <w:rsid w:val="00D479EE"/>
    <w:rsid w:val="00D52801"/>
    <w:rsid w:val="00D545CC"/>
    <w:rsid w:val="00D5676B"/>
    <w:rsid w:val="00D57066"/>
    <w:rsid w:val="00D607E1"/>
    <w:rsid w:val="00D62150"/>
    <w:rsid w:val="00D70879"/>
    <w:rsid w:val="00D722C4"/>
    <w:rsid w:val="00D729D9"/>
    <w:rsid w:val="00D74527"/>
    <w:rsid w:val="00D74FEC"/>
    <w:rsid w:val="00D80433"/>
    <w:rsid w:val="00D826E9"/>
    <w:rsid w:val="00D87492"/>
    <w:rsid w:val="00D920A6"/>
    <w:rsid w:val="00D9328F"/>
    <w:rsid w:val="00D94FAB"/>
    <w:rsid w:val="00D95A65"/>
    <w:rsid w:val="00D969B2"/>
    <w:rsid w:val="00D96EA3"/>
    <w:rsid w:val="00DA030E"/>
    <w:rsid w:val="00DA0BAD"/>
    <w:rsid w:val="00DA1154"/>
    <w:rsid w:val="00DA16EA"/>
    <w:rsid w:val="00DA26B8"/>
    <w:rsid w:val="00DB34C3"/>
    <w:rsid w:val="00DB3C98"/>
    <w:rsid w:val="00DB6B12"/>
    <w:rsid w:val="00DC0419"/>
    <w:rsid w:val="00DC0591"/>
    <w:rsid w:val="00DC37D0"/>
    <w:rsid w:val="00DC7604"/>
    <w:rsid w:val="00DD11CD"/>
    <w:rsid w:val="00DD207B"/>
    <w:rsid w:val="00DD6609"/>
    <w:rsid w:val="00DD672E"/>
    <w:rsid w:val="00DD6BA0"/>
    <w:rsid w:val="00DE110D"/>
    <w:rsid w:val="00DF0739"/>
    <w:rsid w:val="00DF3D1C"/>
    <w:rsid w:val="00DF5111"/>
    <w:rsid w:val="00E00783"/>
    <w:rsid w:val="00E0286B"/>
    <w:rsid w:val="00E031E6"/>
    <w:rsid w:val="00E05FB3"/>
    <w:rsid w:val="00E063AC"/>
    <w:rsid w:val="00E15054"/>
    <w:rsid w:val="00E16070"/>
    <w:rsid w:val="00E173B3"/>
    <w:rsid w:val="00E223DA"/>
    <w:rsid w:val="00E22A24"/>
    <w:rsid w:val="00E234C4"/>
    <w:rsid w:val="00E26A26"/>
    <w:rsid w:val="00E31D9D"/>
    <w:rsid w:val="00E3245A"/>
    <w:rsid w:val="00E3404C"/>
    <w:rsid w:val="00E4146C"/>
    <w:rsid w:val="00E43D68"/>
    <w:rsid w:val="00E45753"/>
    <w:rsid w:val="00E46711"/>
    <w:rsid w:val="00E51A64"/>
    <w:rsid w:val="00E529FB"/>
    <w:rsid w:val="00E53E91"/>
    <w:rsid w:val="00E560AD"/>
    <w:rsid w:val="00E56C25"/>
    <w:rsid w:val="00E57768"/>
    <w:rsid w:val="00E6036C"/>
    <w:rsid w:val="00E60525"/>
    <w:rsid w:val="00E618D5"/>
    <w:rsid w:val="00E6288D"/>
    <w:rsid w:val="00E63363"/>
    <w:rsid w:val="00E64DAE"/>
    <w:rsid w:val="00E657E3"/>
    <w:rsid w:val="00E6588C"/>
    <w:rsid w:val="00E65C14"/>
    <w:rsid w:val="00E7559A"/>
    <w:rsid w:val="00E76876"/>
    <w:rsid w:val="00E7754E"/>
    <w:rsid w:val="00E82963"/>
    <w:rsid w:val="00E87BED"/>
    <w:rsid w:val="00E9190E"/>
    <w:rsid w:val="00E92608"/>
    <w:rsid w:val="00E93803"/>
    <w:rsid w:val="00E946A0"/>
    <w:rsid w:val="00E960E9"/>
    <w:rsid w:val="00E97440"/>
    <w:rsid w:val="00EA0C17"/>
    <w:rsid w:val="00EA3693"/>
    <w:rsid w:val="00EA44C5"/>
    <w:rsid w:val="00EA74B5"/>
    <w:rsid w:val="00EA7B3B"/>
    <w:rsid w:val="00EB4655"/>
    <w:rsid w:val="00EB4AAC"/>
    <w:rsid w:val="00EB6D24"/>
    <w:rsid w:val="00EB782B"/>
    <w:rsid w:val="00EC15E4"/>
    <w:rsid w:val="00EC1E30"/>
    <w:rsid w:val="00EC238E"/>
    <w:rsid w:val="00EC3F22"/>
    <w:rsid w:val="00ED0044"/>
    <w:rsid w:val="00ED34EC"/>
    <w:rsid w:val="00ED491F"/>
    <w:rsid w:val="00ED71B8"/>
    <w:rsid w:val="00EE360E"/>
    <w:rsid w:val="00EE3626"/>
    <w:rsid w:val="00EE5F60"/>
    <w:rsid w:val="00EE66B9"/>
    <w:rsid w:val="00EF12C5"/>
    <w:rsid w:val="00F03714"/>
    <w:rsid w:val="00F0385C"/>
    <w:rsid w:val="00F07B41"/>
    <w:rsid w:val="00F1058E"/>
    <w:rsid w:val="00F10E78"/>
    <w:rsid w:val="00F10E87"/>
    <w:rsid w:val="00F1224F"/>
    <w:rsid w:val="00F12958"/>
    <w:rsid w:val="00F12F88"/>
    <w:rsid w:val="00F143C7"/>
    <w:rsid w:val="00F1559D"/>
    <w:rsid w:val="00F21CD9"/>
    <w:rsid w:val="00F221F4"/>
    <w:rsid w:val="00F268CC"/>
    <w:rsid w:val="00F308FF"/>
    <w:rsid w:val="00F3277A"/>
    <w:rsid w:val="00F355C2"/>
    <w:rsid w:val="00F36D38"/>
    <w:rsid w:val="00F37F20"/>
    <w:rsid w:val="00F41D88"/>
    <w:rsid w:val="00F421E0"/>
    <w:rsid w:val="00F43401"/>
    <w:rsid w:val="00F43553"/>
    <w:rsid w:val="00F4386A"/>
    <w:rsid w:val="00F43D11"/>
    <w:rsid w:val="00F44637"/>
    <w:rsid w:val="00F4480D"/>
    <w:rsid w:val="00F457A9"/>
    <w:rsid w:val="00F51710"/>
    <w:rsid w:val="00F52488"/>
    <w:rsid w:val="00F544D9"/>
    <w:rsid w:val="00F55939"/>
    <w:rsid w:val="00F55F78"/>
    <w:rsid w:val="00F60C57"/>
    <w:rsid w:val="00F64807"/>
    <w:rsid w:val="00F6568B"/>
    <w:rsid w:val="00F679E5"/>
    <w:rsid w:val="00F71242"/>
    <w:rsid w:val="00F71D1A"/>
    <w:rsid w:val="00F72A98"/>
    <w:rsid w:val="00F814D5"/>
    <w:rsid w:val="00F87105"/>
    <w:rsid w:val="00F87643"/>
    <w:rsid w:val="00F92CB6"/>
    <w:rsid w:val="00F942C8"/>
    <w:rsid w:val="00F9538A"/>
    <w:rsid w:val="00FA0A05"/>
    <w:rsid w:val="00FA167B"/>
    <w:rsid w:val="00FA3204"/>
    <w:rsid w:val="00FA3976"/>
    <w:rsid w:val="00FA5AC3"/>
    <w:rsid w:val="00FB059A"/>
    <w:rsid w:val="00FB0E1B"/>
    <w:rsid w:val="00FB2878"/>
    <w:rsid w:val="00FB75ED"/>
    <w:rsid w:val="00FC208F"/>
    <w:rsid w:val="00FC349F"/>
    <w:rsid w:val="00FC5FBC"/>
    <w:rsid w:val="00FC714C"/>
    <w:rsid w:val="00FD045B"/>
    <w:rsid w:val="00FD275D"/>
    <w:rsid w:val="00FD6A91"/>
    <w:rsid w:val="00FD79B3"/>
    <w:rsid w:val="00FE06D2"/>
    <w:rsid w:val="00FE12D4"/>
    <w:rsid w:val="00FE28A3"/>
    <w:rsid w:val="00FE2A44"/>
    <w:rsid w:val="00FE4470"/>
    <w:rsid w:val="00FE662D"/>
    <w:rsid w:val="00FE7453"/>
    <w:rsid w:val="00FF02DE"/>
    <w:rsid w:val="00FF1FA1"/>
    <w:rsid w:val="00FF5A4D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676F71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eastAsia="Times New Roman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676F71"/>
    <w:rPr>
      <w:rFonts w:asciiTheme="minorHAnsi" w:eastAsia="Times New Roman" w:hAnsiTheme="minorHAnsi" w:cs="Times New Roman"/>
      <w:b/>
      <w:bCs/>
      <w:i w:val="0"/>
      <w:color w:val="4F81BD"/>
      <w:sz w:val="28"/>
      <w:szCs w:val="26"/>
    </w:rPr>
  </w:style>
  <w:style w:type="paragraph" w:customStyle="1" w:styleId="TA">
    <w:name w:val="*TA*"/>
    <w:link w:val="TAChar"/>
    <w:qFormat/>
    <w:rsid w:val="00676F71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676F71"/>
    <w:rPr>
      <w:sz w:val="22"/>
      <w:szCs w:val="22"/>
    </w:rPr>
  </w:style>
  <w:style w:type="paragraph" w:customStyle="1" w:styleId="IN">
    <w:name w:val="*IN*"/>
    <w:link w:val="INChar"/>
    <w:qFormat/>
    <w:rsid w:val="00676F71"/>
    <w:pPr>
      <w:numPr>
        <w:numId w:val="4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676F71"/>
    <w:pPr>
      <w:numPr>
        <w:numId w:val="42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676F71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676F71"/>
    <w:pPr>
      <w:numPr>
        <w:numId w:val="45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676F71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676F71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676F71"/>
    <w:rPr>
      <w:sz w:val="22"/>
      <w:szCs w:val="22"/>
    </w:rPr>
  </w:style>
  <w:style w:type="paragraph" w:customStyle="1" w:styleId="PageHeader">
    <w:name w:val="*PageHeader"/>
    <w:link w:val="PageHeaderChar"/>
    <w:qFormat/>
    <w:rsid w:val="00676F71"/>
    <w:pPr>
      <w:spacing w:before="120"/>
    </w:pPr>
    <w:rPr>
      <w:rFonts w:cs="Calibri"/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676F71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676F71"/>
    <w:pPr>
      <w:spacing w:before="240" w:line="276" w:lineRule="auto"/>
    </w:pPr>
    <w:rPr>
      <w:rFonts w:eastAsia="Times New Roman"/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676F71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676F71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676F71"/>
    <w:pPr>
      <w:numPr>
        <w:ilvl w:val="1"/>
        <w:numId w:val="47"/>
      </w:numPr>
      <w:spacing w:before="120"/>
      <w:contextualSpacing/>
    </w:pPr>
  </w:style>
  <w:style w:type="paragraph" w:customStyle="1" w:styleId="INBullet">
    <w:name w:val="*IN* Bullet"/>
    <w:link w:val="INBulletChar"/>
    <w:qFormat/>
    <w:rsid w:val="00676F71"/>
    <w:pPr>
      <w:numPr>
        <w:numId w:val="44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676F71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676F71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676F71"/>
    <w:pPr>
      <w:numPr>
        <w:numId w:val="46"/>
      </w:numPr>
      <w:spacing w:before="120" w:line="276" w:lineRule="auto"/>
    </w:pPr>
    <w:rPr>
      <w:rFonts w:eastAsia="Times New Roman"/>
      <w:sz w:val="22"/>
      <w:szCs w:val="22"/>
    </w:rPr>
  </w:style>
  <w:style w:type="paragraph" w:customStyle="1" w:styleId="SR">
    <w:name w:val="*SR*"/>
    <w:link w:val="SRChar"/>
    <w:qFormat/>
    <w:rsid w:val="00676F71"/>
    <w:pPr>
      <w:numPr>
        <w:numId w:val="48"/>
      </w:numPr>
      <w:spacing w:before="120" w:line="276" w:lineRule="auto"/>
      <w:ind w:left="720"/>
    </w:pPr>
    <w:rPr>
      <w:rFonts w:eastAsia="Times New Roman"/>
      <w:sz w:val="22"/>
      <w:szCs w:val="22"/>
    </w:rPr>
  </w:style>
  <w:style w:type="character" w:customStyle="1" w:styleId="SAChar">
    <w:name w:val="*SA* Char"/>
    <w:basedOn w:val="ListParagraphChar"/>
    <w:link w:val="SA"/>
    <w:rsid w:val="00676F71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676F71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676F71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676F71"/>
    <w:pPr>
      <w:spacing w:line="200" w:lineRule="exact"/>
    </w:pPr>
    <w:rPr>
      <w:rFonts w:ascii="Verdana" w:eastAsia="Verdana" w:hAnsi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676F71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676F71"/>
    <w:rPr>
      <w:rFonts w:ascii="Verdana" w:eastAsia="Verdana" w:hAnsi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676F71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676F71"/>
    <w:rPr>
      <w:sz w:val="22"/>
      <w:szCs w:val="22"/>
    </w:rPr>
  </w:style>
  <w:style w:type="paragraph" w:customStyle="1" w:styleId="ToolHeader">
    <w:name w:val="*ToolHeader"/>
    <w:qFormat/>
    <w:rsid w:val="00676F71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676F71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676F71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676F71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676F71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676F71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676F71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676F71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676F71"/>
    <w:pPr>
      <w:numPr>
        <w:numId w:val="49"/>
      </w:numPr>
    </w:pPr>
  </w:style>
  <w:style w:type="character" w:customStyle="1" w:styleId="SubStandardChar">
    <w:name w:val="*SubStandard Char"/>
    <w:basedOn w:val="TableTextChar"/>
    <w:link w:val="SubStandard"/>
    <w:rsid w:val="00676F71"/>
    <w:rPr>
      <w:sz w:val="22"/>
      <w:szCs w:val="22"/>
    </w:rPr>
  </w:style>
  <w:style w:type="paragraph" w:customStyle="1" w:styleId="Normal1">
    <w:name w:val="Normal1"/>
    <w:rsid w:val="00737E01"/>
    <w:pPr>
      <w:widowControl w:val="0"/>
    </w:pPr>
    <w:rPr>
      <w:rFonts w:ascii="Cambria" w:eastAsia="Cambria" w:hAnsi="Cambria" w:cs="Cambria"/>
      <w:color w:val="000000"/>
      <w:szCs w:val="22"/>
    </w:rPr>
  </w:style>
  <w:style w:type="character" w:customStyle="1" w:styleId="hwc">
    <w:name w:val="hwc"/>
    <w:basedOn w:val="DefaultParagraphFont"/>
    <w:rsid w:val="00457F5C"/>
  </w:style>
  <w:style w:type="paragraph" w:styleId="Revision">
    <w:name w:val="Revision"/>
    <w:hidden/>
    <w:uiPriority w:val="71"/>
    <w:rsid w:val="00095D58"/>
    <w:rPr>
      <w:sz w:val="22"/>
      <w:szCs w:val="22"/>
    </w:rPr>
  </w:style>
  <w:style w:type="paragraph" w:styleId="NoSpacing">
    <w:name w:val="No Spacing"/>
    <w:rsid w:val="00B9151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09/01/15/opinion/15kristof.html?_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/3.0/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327F-BE81-4A65-8966-CEC4E885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19931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Peter Seidman</cp:lastModifiedBy>
  <cp:revision>2</cp:revision>
  <dcterms:created xsi:type="dcterms:W3CDTF">2014-04-04T16:34:00Z</dcterms:created>
  <dcterms:modified xsi:type="dcterms:W3CDTF">2014-04-04T16:34:00Z</dcterms:modified>
</cp:coreProperties>
</file>