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32306C" w:rsidP="00B231AA">
            <w:pPr>
              <w:pStyle w:val="Header-banner"/>
              <w:rPr>
                <w:rFonts w:asciiTheme="minorHAnsi" w:hAnsiTheme="minorHAnsi"/>
              </w:rPr>
            </w:pPr>
            <w:r>
              <w:rPr>
                <w:rFonts w:asciiTheme="minorHAnsi" w:hAnsiTheme="minorHAnsi"/>
              </w:rPr>
              <w:t>9.4</w:t>
            </w:r>
            <w:r w:rsidR="00BE1675">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32306C">
              <w:rPr>
                <w:rFonts w:asciiTheme="minorHAnsi" w:hAnsiTheme="minorHAnsi"/>
              </w:rPr>
              <w:t>1</w:t>
            </w:r>
            <w:r w:rsidR="00912D8D">
              <w:rPr>
                <w:rFonts w:asciiTheme="minorHAnsi" w:hAnsiTheme="minorHAnsi"/>
              </w:rPr>
              <w:t>3</w:t>
            </w:r>
          </w:p>
        </w:tc>
      </w:tr>
    </w:tbl>
    <w:p w:rsidR="005C4572" w:rsidRDefault="00C4787C" w:rsidP="00E946A0">
      <w:pPr>
        <w:pStyle w:val="Heading1"/>
      </w:pPr>
      <w:r w:rsidRPr="00263AF5">
        <w:t>Introduction</w:t>
      </w:r>
    </w:p>
    <w:p w:rsidR="005C4572" w:rsidRDefault="007200EC" w:rsidP="005C4572">
      <w:r>
        <w:t>In this lesson</w:t>
      </w:r>
      <w:r w:rsidR="008414A9">
        <w:t>,</w:t>
      </w:r>
      <w:r>
        <w:t xml:space="preserve"> students complete their reading of “</w:t>
      </w:r>
      <w:r w:rsidR="00AC0973">
        <w:t xml:space="preserve">Bangladesh Factory Collapse: </w:t>
      </w:r>
      <w:r>
        <w:t xml:space="preserve">Who Really Pays for </w:t>
      </w:r>
      <w:r w:rsidR="001D0BDE">
        <w:t>O</w:t>
      </w:r>
      <w:r>
        <w:t>ur Cheap Clothes?” from “So what can be done?” through “We hope none” (pp. 2</w:t>
      </w:r>
      <w:r w:rsidR="008F087D">
        <w:t>–</w:t>
      </w:r>
      <w:r>
        <w:t xml:space="preserve">3), in which </w:t>
      </w:r>
      <w:r w:rsidR="008B39BC">
        <w:t>the author</w:t>
      </w:r>
      <w:r>
        <w:t xml:space="preserve"> elaborates on the specific problems that face safety reform in garment factories and the steps she views </w:t>
      </w:r>
      <w:r w:rsidR="008266A6">
        <w:t xml:space="preserve">as </w:t>
      </w:r>
      <w:r>
        <w:t>necessary to bring about change. Student</w:t>
      </w:r>
      <w:r w:rsidR="007E2BB1">
        <w:t>s work to</w:t>
      </w:r>
      <w:r>
        <w:t xml:space="preserve"> delineate and evaluate the argument made by McMullen in this article through the </w:t>
      </w:r>
      <w:r w:rsidR="003C0F73">
        <w:t>Evaluating Argument and Evidence Tool</w:t>
      </w:r>
      <w:r w:rsidR="00F30304" w:rsidRPr="00F30304">
        <w:t xml:space="preserve"> </w:t>
      </w:r>
      <w:r w:rsidR="00F30304">
        <w:t>and Assessment</w:t>
      </w:r>
      <w:r>
        <w:t>, which also serve</w:t>
      </w:r>
      <w:r w:rsidR="007E2BB1">
        <w:t>s</w:t>
      </w:r>
      <w:r>
        <w:t xml:space="preserve"> as the </w:t>
      </w:r>
      <w:r w:rsidR="008B39BC">
        <w:t xml:space="preserve">lesson </w:t>
      </w:r>
      <w:r>
        <w:t>assessment.</w:t>
      </w:r>
    </w:p>
    <w:p w:rsidR="007200EC" w:rsidRPr="005C4572" w:rsidRDefault="007200EC" w:rsidP="005C4572">
      <w:r>
        <w:t>For homework</w:t>
      </w:r>
      <w:r w:rsidR="009E68FF">
        <w:t>,</w:t>
      </w:r>
      <w:r>
        <w:t xml:space="preserve"> students </w:t>
      </w:r>
      <w:r w:rsidR="00F25224">
        <w:t xml:space="preserve">draft a claim in response to the </w:t>
      </w:r>
      <w:r w:rsidR="009E68FF">
        <w:t>M</w:t>
      </w:r>
      <w:r w:rsidR="00F25224">
        <w:t>id-</w:t>
      </w:r>
      <w:r w:rsidR="009E68FF">
        <w:t>U</w:t>
      </w:r>
      <w:r w:rsidR="00F25224">
        <w:t xml:space="preserve">nit </w:t>
      </w:r>
      <w:r w:rsidR="009E68FF">
        <w:t>A</w:t>
      </w:r>
      <w:r w:rsidR="00F25224">
        <w:t xml:space="preserve">ssessment prompt, </w:t>
      </w:r>
      <w:r w:rsidR="00A34081">
        <w:t>review the texts they have read up to this point in the module</w:t>
      </w:r>
      <w:r w:rsidR="008F087D">
        <w:t>,</w:t>
      </w:r>
      <w:r w:rsidR="00A34081">
        <w:t xml:space="preserve"> and review and expand their notes in preparation for the </w:t>
      </w:r>
      <w:r w:rsidR="009E68FF">
        <w:t>M</w:t>
      </w:r>
      <w:r w:rsidR="00A34081">
        <w:t>id-</w:t>
      </w:r>
      <w:r w:rsidR="009E68FF">
        <w:t>U</w:t>
      </w:r>
      <w:r w:rsidR="00A34081">
        <w:t xml:space="preserve">nit </w:t>
      </w:r>
      <w:r w:rsidR="009E68FF">
        <w:t>A</w:t>
      </w:r>
      <w:r w:rsidR="00A34081">
        <w:t>ssessment.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7200EC" w:rsidRPr="0053542D" w:rsidTr="00E22A24">
        <w:tc>
          <w:tcPr>
            <w:tcW w:w="1344" w:type="dxa"/>
          </w:tcPr>
          <w:p w:rsidR="007200EC" w:rsidRDefault="007D3D84" w:rsidP="007D3D84">
            <w:pPr>
              <w:pStyle w:val="TableText"/>
            </w:pPr>
            <w:r>
              <w:t>RI.9-10.</w:t>
            </w:r>
            <w:r w:rsidR="007200EC">
              <w:t>8</w:t>
            </w:r>
          </w:p>
        </w:tc>
        <w:tc>
          <w:tcPr>
            <w:tcW w:w="8124" w:type="dxa"/>
          </w:tcPr>
          <w:p w:rsidR="007200EC" w:rsidRPr="008A3A1E" w:rsidRDefault="008A3A1E" w:rsidP="00784E3B">
            <w:pPr>
              <w:pStyle w:val="TableText"/>
            </w:pPr>
            <w:r w:rsidRPr="008A3A1E">
              <w:t>Delineate and evaluate the argument and specific clai</w:t>
            </w:r>
            <w:r>
              <w:t xml:space="preserve">ms in a text, assessing whether </w:t>
            </w:r>
            <w:r w:rsidRPr="008A3A1E">
              <w:t>the</w:t>
            </w:r>
            <w:r>
              <w:t xml:space="preserve"> </w:t>
            </w:r>
            <w:r w:rsidRPr="008A3A1E">
              <w:t>reasoning is valid and the evidence is relevant</w:t>
            </w:r>
            <w:r>
              <w:t xml:space="preserve"> and sufficient; identify false </w:t>
            </w:r>
            <w:r w:rsidRPr="008A3A1E">
              <w:t>statements and</w:t>
            </w:r>
            <w:r>
              <w:t xml:space="preserve"> </w:t>
            </w:r>
            <w:r w:rsidRPr="008A3A1E">
              <w:t>fallacious reasoning</w:t>
            </w:r>
            <w:r w:rsidR="009E68FF">
              <w:t>.</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7200EC" w:rsidRPr="0053542D" w:rsidTr="00E22A24">
        <w:tc>
          <w:tcPr>
            <w:tcW w:w="1344" w:type="dxa"/>
          </w:tcPr>
          <w:p w:rsidR="007200EC" w:rsidRDefault="007200EC" w:rsidP="007200EC">
            <w:pPr>
              <w:pStyle w:val="TableText"/>
            </w:pPr>
            <w:r>
              <w:t>W.9-10.1</w:t>
            </w:r>
            <w:r w:rsidR="009E68FF">
              <w:t>.</w:t>
            </w:r>
            <w:r w:rsidR="00A71BB5">
              <w:t xml:space="preserve">a, </w:t>
            </w:r>
            <w:r w:rsidR="001455F6">
              <w:t>b</w:t>
            </w:r>
          </w:p>
        </w:tc>
        <w:tc>
          <w:tcPr>
            <w:tcW w:w="8124" w:type="dxa"/>
          </w:tcPr>
          <w:p w:rsidR="007200EC" w:rsidRDefault="007200EC" w:rsidP="007200EC">
            <w:pPr>
              <w:pStyle w:val="TableText"/>
            </w:pPr>
            <w:r w:rsidRPr="00906479">
              <w:t>Write arguments to support claims in an analysis of substantive topics or texts, using valid reasoning and relevant and sufficient evidence. Explore and inquire into areas of interest to formulate an argument.</w:t>
            </w:r>
          </w:p>
          <w:p w:rsidR="00A71BB5" w:rsidRDefault="00A71BB5" w:rsidP="00BE1675">
            <w:pPr>
              <w:pStyle w:val="SubStandard"/>
              <w:numPr>
                <w:ilvl w:val="0"/>
                <w:numId w:val="48"/>
              </w:numPr>
              <w:ind w:left="348"/>
            </w:pPr>
            <w:r>
              <w:t>Introduce precise claim(s), distinguish the claim(s) from alternate or opposing claims, and create an organization that establishes clear relationships among claim(s), counterclaims, reasons, and evidence.</w:t>
            </w:r>
          </w:p>
          <w:p w:rsidR="001455F6" w:rsidRPr="00BE1675" w:rsidRDefault="001455F6" w:rsidP="00BE1675">
            <w:pPr>
              <w:pStyle w:val="SubStandard"/>
              <w:numPr>
                <w:ilvl w:val="0"/>
                <w:numId w:val="48"/>
              </w:numPr>
              <w:ind w:left="348"/>
            </w:pPr>
            <w:r w:rsidRPr="00BE1675">
              <w:t>Develop claim(s) and counterclaims fairly, supplying evidence for each while pointing out the strengths and limitations of both in a manner that anticipates the audience’s knowledge level and concerns.</w:t>
            </w:r>
          </w:p>
        </w:tc>
      </w:tr>
    </w:tbl>
    <w:p w:rsidR="000F38E4" w:rsidRDefault="000F38E4" w:rsidP="00DC408C"/>
    <w:p w:rsidR="000F38E4" w:rsidRDefault="000F38E4">
      <w:pPr>
        <w:spacing w:before="0" w:after="0" w:line="240" w:lineRule="auto"/>
      </w:pPr>
      <w:r>
        <w:rPr>
          <w:b/>
          <w:bCs/>
        </w:rP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7E2BB1" w:rsidRPr="006D5695" w:rsidRDefault="007E2BB1" w:rsidP="007E2BB1">
            <w:pPr>
              <w:pStyle w:val="TableText"/>
            </w:pPr>
            <w:r w:rsidRPr="006D5695">
              <w:t xml:space="preserve">Student learning </w:t>
            </w:r>
            <w:r w:rsidR="00A71BB5">
              <w:t>is assessed via the</w:t>
            </w:r>
            <w:r>
              <w:t xml:space="preserve"> Evaluating Argument and Evidence Tool</w:t>
            </w:r>
            <w:r w:rsidR="00A71BB5">
              <w:t xml:space="preserve">. </w:t>
            </w:r>
            <w:r w:rsidRPr="006D5695">
              <w:t xml:space="preserve">Students </w:t>
            </w:r>
            <w:r>
              <w:t>respond to</w:t>
            </w:r>
            <w:r w:rsidRPr="006D5695">
              <w:t xml:space="preserve"> the following prompt, citing textual evidence to support analysis and inferences drawn from the text</w:t>
            </w:r>
            <w:r>
              <w:t>.</w:t>
            </w:r>
          </w:p>
          <w:p w:rsidR="00B231AA" w:rsidRPr="0032306C" w:rsidRDefault="0032306C" w:rsidP="001F0511">
            <w:pPr>
              <w:pStyle w:val="BulletedList"/>
            </w:pPr>
            <w:bookmarkStart w:id="0" w:name="OLE_LINK3"/>
            <w:bookmarkStart w:id="1" w:name="OLE_LINK4"/>
            <w:r>
              <w:t xml:space="preserve">Delineate </w:t>
            </w:r>
            <w:r w:rsidR="001F0511">
              <w:t>an</w:t>
            </w:r>
            <w:r w:rsidRPr="00854B93">
              <w:t xml:space="preserve"> argument and specific claims in “</w:t>
            </w:r>
            <w:r w:rsidR="00CD2996">
              <w:t xml:space="preserve">Bangladesh Factory Collapse: </w:t>
            </w:r>
            <w:r w:rsidRPr="00854B93">
              <w:t>Who Really Pays for our Cheap Clothes</w:t>
            </w:r>
            <w:r w:rsidR="00BD1887">
              <w:t>?</w:t>
            </w:r>
            <w:r w:rsidRPr="00854B93">
              <w:t>”</w:t>
            </w:r>
            <w:r>
              <w:t xml:space="preserve"> and describe how the author uses evidence to support these claims. </w:t>
            </w:r>
            <w:bookmarkEnd w:id="0"/>
            <w:bookmarkEnd w:id="1"/>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0B2D56" w:rsidP="008151E5">
            <w:pPr>
              <w:pStyle w:val="TableText"/>
            </w:pPr>
            <w:r>
              <w:t xml:space="preserve">A </w:t>
            </w:r>
            <w:r w:rsidR="009E68FF">
              <w:t>H</w:t>
            </w:r>
            <w:r w:rsidR="00BE4EBD">
              <w:t xml:space="preserve">igh </w:t>
            </w:r>
            <w:r w:rsidR="009E68FF">
              <w:t>P</w:t>
            </w:r>
            <w:r w:rsidR="00BE4EBD">
              <w:t xml:space="preserve">erformance </w:t>
            </w:r>
            <w:r w:rsidR="009E68FF">
              <w:t>R</w:t>
            </w:r>
            <w:r w:rsidR="00850CE6">
              <w:t>esponse</w:t>
            </w:r>
            <w:r w:rsidR="00BE4EBD">
              <w:t xml:space="preserve"> </w:t>
            </w:r>
            <w:r w:rsidR="001455F6">
              <w:t>should:</w:t>
            </w:r>
          </w:p>
          <w:p w:rsidR="00D920A6" w:rsidRPr="003908D2" w:rsidRDefault="0032306C" w:rsidP="00064850">
            <w:pPr>
              <w:pStyle w:val="BulletedList"/>
            </w:pPr>
            <w:r>
              <w:t xml:space="preserve">See Model </w:t>
            </w:r>
            <w:r w:rsidR="003C0F73">
              <w:t>Evaluating Argument and Evidence Tool</w:t>
            </w:r>
            <w:r w:rsidR="00784E3B">
              <w:t xml:space="preserve"> and Assessment</w:t>
            </w:r>
            <w:r w:rsidR="003C0F73">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A47C04" w:rsidRDefault="00170815" w:rsidP="00CE26F1">
            <w:pPr>
              <w:pStyle w:val="BulletedList"/>
            </w:pPr>
            <w:r>
              <w:t xml:space="preserve">stakeholders (n.) – </w:t>
            </w:r>
            <w:r w:rsidR="00A47C04">
              <w:t>persons or a group that has</w:t>
            </w:r>
            <w:r w:rsidR="00CE26F1">
              <w:t xml:space="preserve"> an</w:t>
            </w:r>
            <w:r w:rsidR="00A47C04">
              <w:t xml:space="preserve"> inv</w:t>
            </w:r>
            <w:r w:rsidR="00784E3B">
              <w:t>estment in business or industry</w:t>
            </w:r>
          </w:p>
          <w:p w:rsidR="00784E3B" w:rsidRDefault="00784E3B" w:rsidP="00CE26F1">
            <w:pPr>
              <w:pStyle w:val="BulletedList"/>
            </w:pPr>
            <w:r>
              <w:t xml:space="preserve">transparent (adj.) – </w:t>
            </w:r>
            <w:r w:rsidR="00E62BF3">
              <w:t>open; candid</w:t>
            </w:r>
          </w:p>
          <w:p w:rsidR="00784E3B" w:rsidRDefault="00DA1FB9" w:rsidP="00E62BF3">
            <w:pPr>
              <w:pStyle w:val="BulletedList"/>
            </w:pPr>
            <w:r>
              <w:t>memorandum</w:t>
            </w:r>
            <w:r w:rsidR="00E62BF3">
              <w:t xml:space="preserve"> (n.) – </w:t>
            </w:r>
            <w:r w:rsidR="00E62BF3" w:rsidRPr="00E62BF3">
              <w:t>a record or written statement of something</w:t>
            </w:r>
          </w:p>
          <w:p w:rsidR="00784E3B" w:rsidRDefault="00784E3B" w:rsidP="00CE26F1">
            <w:pPr>
              <w:pStyle w:val="BulletedList"/>
            </w:pPr>
            <w:r>
              <w:t>sourcing</w:t>
            </w:r>
            <w:r w:rsidR="00E62BF3">
              <w:t xml:space="preserve"> (n.) – </w:t>
            </w:r>
            <w:r w:rsidR="00E62BF3" w:rsidRPr="00E62BF3">
              <w:t>the buying of components of a product from an outside supplier, often one located abroad</w:t>
            </w:r>
          </w:p>
          <w:p w:rsidR="00E62BF3" w:rsidRPr="008353D6" w:rsidRDefault="00784E3B" w:rsidP="00E62BF3">
            <w:pPr>
              <w:pStyle w:val="BulletedList"/>
            </w:pPr>
            <w:r>
              <w:t>wake</w:t>
            </w:r>
            <w:r w:rsidR="00E62BF3">
              <w:t xml:space="preserve"> (v.) – </w:t>
            </w:r>
            <w:r w:rsidR="00E62BF3" w:rsidRPr="00E62BF3">
              <w:t>succeeding; following</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D54D4F" w:rsidP="000B2D56">
            <w:pPr>
              <w:pStyle w:val="BulletedList"/>
            </w:pPr>
            <w:r>
              <w:t>None.</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Standards:</w:t>
            </w:r>
            <w:r w:rsidR="00411A81">
              <w:t xml:space="preserve"> </w:t>
            </w:r>
            <w:r w:rsidR="000116B2">
              <w:t>R</w:t>
            </w:r>
            <w:r w:rsidR="00411A81">
              <w:t>I.9-10</w:t>
            </w:r>
            <w:r w:rsidR="000116B2">
              <w:t>.8, W.9-10.1</w:t>
            </w:r>
            <w:r w:rsidR="007943E1">
              <w:t>.</w:t>
            </w:r>
            <w:r w:rsidR="00A71BB5">
              <w:t xml:space="preserve">a, </w:t>
            </w:r>
            <w:r w:rsidR="001455F6">
              <w:t>b</w:t>
            </w:r>
          </w:p>
          <w:p w:rsidR="00730123" w:rsidRDefault="002E6870" w:rsidP="007E6233">
            <w:pPr>
              <w:pStyle w:val="BulletedList"/>
            </w:pPr>
            <w:r>
              <w:t>Text: “</w:t>
            </w:r>
            <w:r w:rsidR="00AC0973">
              <w:t xml:space="preserve">Bangladesh Factory Collapse: </w:t>
            </w:r>
            <w:r w:rsidRPr="00967C5C">
              <w:rPr>
                <w:rFonts w:asciiTheme="minorHAnsi" w:eastAsia="Times New Roman" w:hAnsiTheme="minorHAnsi"/>
              </w:rPr>
              <w:t>Who Really Pays for our Cheap Clothes?</w:t>
            </w:r>
            <w:r>
              <w:rPr>
                <w:rFonts w:asciiTheme="minorHAnsi" w:eastAsia="Times New Roman" w:hAnsiTheme="minorHAnsi"/>
              </w:rPr>
              <w:t xml:space="preserve">” </w:t>
            </w:r>
            <w:r w:rsidRPr="00B11705">
              <w:rPr>
                <w:rFonts w:asciiTheme="minorHAnsi" w:eastAsia="Times New Roman" w:hAnsiTheme="minorHAnsi"/>
              </w:rPr>
              <w:t>(</w:t>
            </w:r>
            <w:hyperlink r:id="rId8" w:history="1">
              <w:r w:rsidRPr="00B11705">
                <w:rPr>
                  <w:rStyle w:val="Hyperlink"/>
                  <w:rFonts w:asciiTheme="minorHAnsi" w:hAnsiTheme="minorHAnsi" w:cs="Arial"/>
                  <w:color w:val="1155CC"/>
                </w:rPr>
                <w:t>www.cnn.com</w:t>
              </w:r>
            </w:hyperlink>
            <w:r w:rsidRPr="00B11705">
              <w:rPr>
                <w:rFonts w:asciiTheme="minorHAnsi" w:hAnsiTheme="minorHAnsi"/>
              </w:rPr>
              <w:t>)</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1740B9" w:rsidP="000116B2">
            <w:pPr>
              <w:pStyle w:val="NumberedList"/>
            </w:pPr>
            <w:r>
              <w:lastRenderedPageBreak/>
              <w:t xml:space="preserve">Reading and </w:t>
            </w:r>
            <w:r w:rsidR="000116B2">
              <w:t>Discussion</w:t>
            </w:r>
          </w:p>
          <w:p w:rsidR="003C0F73" w:rsidRDefault="003C0F73" w:rsidP="00546D71">
            <w:pPr>
              <w:pStyle w:val="NumberedList"/>
            </w:pPr>
            <w:r>
              <w:t xml:space="preserve">Evaluating Argument and Evidence Tool </w:t>
            </w:r>
            <w:r w:rsidR="008F087D">
              <w:t>and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95788A" w:rsidP="00546D71">
            <w:pPr>
              <w:pStyle w:val="NumberedList"/>
              <w:numPr>
                <w:ilvl w:val="0"/>
                <w:numId w:val="34"/>
              </w:numPr>
            </w:pPr>
            <w:r>
              <w:t>10</w:t>
            </w:r>
            <w:r w:rsidR="00546D71">
              <w:t>%</w:t>
            </w:r>
          </w:p>
          <w:p w:rsidR="00546D71" w:rsidRDefault="000B2D56" w:rsidP="00546D71">
            <w:pPr>
              <w:pStyle w:val="NumberedList"/>
            </w:pPr>
            <w:r>
              <w:t>10</w:t>
            </w:r>
            <w:r w:rsidR="00546D71">
              <w:t>%</w:t>
            </w:r>
          </w:p>
          <w:p w:rsidR="00546D71" w:rsidRDefault="0095788A" w:rsidP="00546D71">
            <w:pPr>
              <w:pStyle w:val="NumberedList"/>
            </w:pPr>
            <w:r>
              <w:lastRenderedPageBreak/>
              <w:t>30</w:t>
            </w:r>
            <w:r w:rsidR="00546D71">
              <w:t>%</w:t>
            </w:r>
          </w:p>
          <w:p w:rsidR="00546D71" w:rsidRDefault="000116B2" w:rsidP="00546D71">
            <w:pPr>
              <w:pStyle w:val="NumberedList"/>
            </w:pPr>
            <w:r>
              <w:t>45</w:t>
            </w:r>
            <w:r w:rsidR="00546D71">
              <w:t>%</w:t>
            </w:r>
          </w:p>
          <w:p w:rsidR="00546D71" w:rsidRPr="00C02EC2" w:rsidRDefault="000116B2" w:rsidP="000116B2">
            <w:pPr>
              <w:pStyle w:val="NumberedList"/>
            </w:pPr>
            <w:r>
              <w:t>5%</w:t>
            </w:r>
          </w:p>
        </w:tc>
      </w:tr>
    </w:tbl>
    <w:p w:rsidR="003368BF" w:rsidRDefault="00F308FF" w:rsidP="00E946A0">
      <w:pPr>
        <w:pStyle w:val="Heading1"/>
      </w:pPr>
      <w:r>
        <w:lastRenderedPageBreak/>
        <w:t>Materials</w:t>
      </w:r>
    </w:p>
    <w:p w:rsidR="006436A9" w:rsidRDefault="008F087D" w:rsidP="006436A9">
      <w:pPr>
        <w:pStyle w:val="BulletedList"/>
      </w:pPr>
      <w:r>
        <w:t>Student c</w:t>
      </w:r>
      <w:r w:rsidR="006436A9">
        <w:t xml:space="preserve">opies of the </w:t>
      </w:r>
      <w:r>
        <w:t xml:space="preserve">9.4 </w:t>
      </w:r>
      <w:r w:rsidR="006436A9">
        <w:t xml:space="preserve">Common Core Learning Standards Tool </w:t>
      </w:r>
      <w:r>
        <w:t xml:space="preserve">(refer to 9.4.1 Lesson </w:t>
      </w:r>
      <w:r w:rsidR="00784E3B">
        <w:t>9</w:t>
      </w:r>
      <w:r>
        <w:t>)</w:t>
      </w:r>
    </w:p>
    <w:p w:rsidR="006E7D3C" w:rsidRDefault="006831FA" w:rsidP="00064850">
      <w:pPr>
        <w:pStyle w:val="BulletedList"/>
      </w:pPr>
      <w:r>
        <w:t>Student copies</w:t>
      </w:r>
      <w:r w:rsidR="002E6870">
        <w:t xml:space="preserve"> of the </w:t>
      </w:r>
      <w:r w:rsidR="003C0F73">
        <w:t>Evaluating Argument and Evidence</w:t>
      </w:r>
      <w:r w:rsidR="002E6870">
        <w:t xml:space="preserve"> Tool </w:t>
      </w:r>
      <w:r w:rsidR="00FF2E19">
        <w:t xml:space="preserve">and Assessment </w:t>
      </w:r>
      <w:r>
        <w:t>(refer to 9.4.1 Lesson 10)</w:t>
      </w:r>
    </w:p>
    <w:p w:rsidR="000F38E4" w:rsidRPr="006E7D3C" w:rsidRDefault="000F38E4" w:rsidP="00064850">
      <w:pPr>
        <w:pStyle w:val="BulletedList"/>
      </w:pPr>
      <w:r>
        <w:t xml:space="preserve">Copies of the Forming Evidence-Based Claims Tool </w:t>
      </w:r>
      <w:r w:rsidR="00D54D4F">
        <w:t>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106AA0">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106AA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06AA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06AA0">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106AA0">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106AA0">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06AA0">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06AA0">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06AA0">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95788A">
        <w:t>10</w:t>
      </w:r>
      <w:r w:rsidR="00607856" w:rsidRPr="00A24DAB">
        <w:t>%</w:t>
      </w:r>
    </w:p>
    <w:p w:rsidR="00AD02DD" w:rsidRDefault="00AD02DD" w:rsidP="00AD02DD">
      <w:pPr>
        <w:pStyle w:val="TA"/>
        <w:spacing w:line="276" w:lineRule="auto"/>
      </w:pPr>
      <w:r>
        <w:t xml:space="preserve">Begin by reviewing the agenda and the assessed standard for this lesson: </w:t>
      </w:r>
      <w:r w:rsidR="001C798A">
        <w:t>RI.9-10</w:t>
      </w:r>
      <w:r w:rsidR="00C537D5">
        <w:t>.8</w:t>
      </w:r>
      <w:r>
        <w:t>. In this lesson, students continue their reading of “</w:t>
      </w:r>
      <w:r w:rsidR="00AC0973">
        <w:t xml:space="preserve">Bangladesh Factory Collapse: </w:t>
      </w:r>
      <w:r>
        <w:t xml:space="preserve">Who Really Pays for our Cheap Clothes?” and analyze the specific claims made in this text, building on the skill of delineating and evaluating argument in text. Inform students that </w:t>
      </w:r>
      <w:r w:rsidR="007E2BB1">
        <w:t>the assessment in this lesson is</w:t>
      </w:r>
      <w:r>
        <w:t xml:space="preserve"> a tool that asks </w:t>
      </w:r>
      <w:r w:rsidR="007E2BB1">
        <w:t xml:space="preserve">students </w:t>
      </w:r>
      <w:r>
        <w:t>to evaluate the author’s argument and specific claims in the text, including whether or not the evidence is relevant and sufficient to support the argument.</w:t>
      </w:r>
    </w:p>
    <w:p w:rsidR="00AD02DD" w:rsidRDefault="00AD02DD" w:rsidP="00AD02DD">
      <w:pPr>
        <w:pStyle w:val="SA"/>
      </w:pPr>
      <w:r>
        <w:t xml:space="preserve">Students </w:t>
      </w:r>
      <w:r w:rsidR="00D54D4F">
        <w:t>look at the agenda.</w:t>
      </w:r>
    </w:p>
    <w:p w:rsidR="00080611" w:rsidRDefault="00AC0973">
      <w:pPr>
        <w:pStyle w:val="IN"/>
      </w:pPr>
      <w:r w:rsidRPr="00BD1A08">
        <w:t xml:space="preserve">Throughout this module, students pause at critical moments in </w:t>
      </w:r>
      <w:r w:rsidRPr="008353D6">
        <w:rPr>
          <w:i/>
        </w:rPr>
        <w:t>Sugar Changed the World</w:t>
      </w:r>
      <w:r w:rsidRPr="00BD1A08">
        <w:t xml:space="preserve"> to explore short, supplementary texts. The goal of exploring these texts is to help students make connections between the central ideas of </w:t>
      </w:r>
      <w:r w:rsidRPr="008353D6">
        <w:rPr>
          <w:i/>
        </w:rPr>
        <w:t>Sugar Changed the World</w:t>
      </w:r>
      <w:r w:rsidRPr="00BD1A08">
        <w:t xml:space="preserve"> and related contemporary issues. The supplementary texts also provide examples of argument writing, which model the components students</w:t>
      </w:r>
      <w:r w:rsidR="007E2BB1">
        <w:t xml:space="preserve"> are asked to</w:t>
      </w:r>
      <w:r w:rsidRPr="00BD1A08">
        <w:t xml:space="preserve"> use in their own argument writin</w:t>
      </w:r>
      <w:r w:rsidR="00F30304">
        <w:t xml:space="preserve">g pieces later in this module. </w:t>
      </w:r>
      <w:r w:rsidRPr="00BD1A08">
        <w:t xml:space="preserve">Additionally, these texts scaffold to the expectations of the Mid-Unit and End-of-Unit Assessments in which students engage in cross-textual analysis of the ideas presented in </w:t>
      </w:r>
      <w:r w:rsidRPr="008353D6">
        <w:rPr>
          <w:i/>
        </w:rPr>
        <w:t>Sugar Changed the World</w:t>
      </w:r>
      <w:r w:rsidRPr="00BD1A08">
        <w:t xml:space="preserve"> and those presented in the supplementary texts.</w:t>
      </w:r>
    </w:p>
    <w:p w:rsidR="006C5E6F" w:rsidRDefault="006C5E6F" w:rsidP="006C5E6F">
      <w:pPr>
        <w:spacing w:before="180" w:line="240" w:lineRule="auto"/>
      </w:pPr>
      <w:r w:rsidRPr="006C5E6F">
        <w:t xml:space="preserve">Distribute or ask students to take out their copies of the 9.4 Common Core Learning Standards Tool. Inform students that in this lesson they </w:t>
      </w:r>
      <w:r>
        <w:t xml:space="preserve">begin to work with </w:t>
      </w:r>
      <w:r w:rsidRPr="006C5E6F">
        <w:t>new standard</w:t>
      </w:r>
      <w:r>
        <w:t>s: W.9-10.1, W.9-10.1.a, and W.9-10.1.b</w:t>
      </w:r>
      <w:r w:rsidRPr="006C5E6F">
        <w:t xml:space="preserve">. </w:t>
      </w:r>
    </w:p>
    <w:p w:rsidR="006C5E6F" w:rsidRPr="006C5E6F" w:rsidRDefault="006C5E6F" w:rsidP="006C5E6F">
      <w:pPr>
        <w:spacing w:before="180" w:line="240" w:lineRule="auto"/>
      </w:pPr>
      <w:r w:rsidRPr="006C5E6F">
        <w:t xml:space="preserve">Ask students to individually read </w:t>
      </w:r>
      <w:r>
        <w:t>W.9-10.1 and W.9-10.1.a</w:t>
      </w:r>
      <w:r w:rsidRPr="006C5E6F">
        <w:t xml:space="preserve"> on their tools and assess their familiarity with and mastery of the</w:t>
      </w:r>
      <w:r>
        <w:t>se</w:t>
      </w:r>
      <w:r w:rsidRPr="006C5E6F">
        <w:t xml:space="preserve"> standard</w:t>
      </w:r>
      <w:r>
        <w:t>s</w:t>
      </w:r>
    </w:p>
    <w:p w:rsidR="006C5E6F" w:rsidRPr="006C5E6F" w:rsidRDefault="006C5E6F" w:rsidP="006C5E6F">
      <w:pPr>
        <w:numPr>
          <w:ilvl w:val="0"/>
          <w:numId w:val="44"/>
        </w:numPr>
        <w:spacing w:before="120" w:after="0"/>
      </w:pPr>
      <w:r w:rsidRPr="006C5E6F">
        <w:t>Students read and assess their understanding</w:t>
      </w:r>
      <w:r>
        <w:t xml:space="preserve"> of standards W.9-10.1 and W.9-10.1.a</w:t>
      </w:r>
      <w:r w:rsidRPr="006C5E6F">
        <w:t xml:space="preserve">. </w:t>
      </w:r>
    </w:p>
    <w:p w:rsidR="006C5E6F" w:rsidRPr="006C5E6F" w:rsidRDefault="006C5E6F" w:rsidP="006C5E6F">
      <w:pPr>
        <w:spacing w:before="180" w:line="240" w:lineRule="auto"/>
      </w:pPr>
      <w:r w:rsidRPr="006C5E6F">
        <w:t>Instruct students to talk in pairs about what they think the standard</w:t>
      </w:r>
      <w:r>
        <w:t>s</w:t>
      </w:r>
      <w:r w:rsidRPr="006C5E6F">
        <w:t xml:space="preserve"> means. Lead a brief discussion about the standard</w:t>
      </w:r>
      <w:r>
        <w:t>s</w:t>
      </w:r>
      <w:r w:rsidRPr="006C5E6F">
        <w:t xml:space="preserve">. </w:t>
      </w:r>
    </w:p>
    <w:p w:rsidR="006C5E6F" w:rsidRPr="006C5E6F" w:rsidRDefault="006C5E6F" w:rsidP="006C5E6F">
      <w:pPr>
        <w:numPr>
          <w:ilvl w:val="0"/>
          <w:numId w:val="46"/>
        </w:numPr>
        <w:spacing w:before="120" w:after="0"/>
        <w:ind w:left="720"/>
      </w:pPr>
      <w:r w:rsidRPr="006C5E6F">
        <w:t>Student responses should include:</w:t>
      </w:r>
    </w:p>
    <w:p w:rsidR="006C5E6F" w:rsidRDefault="006C5E6F" w:rsidP="006C5E6F">
      <w:pPr>
        <w:numPr>
          <w:ilvl w:val="1"/>
          <w:numId w:val="45"/>
        </w:numPr>
        <w:spacing w:before="120"/>
        <w:ind w:left="1080"/>
        <w:contextualSpacing/>
      </w:pPr>
      <w:r>
        <w:t xml:space="preserve">Write arguments to analyze issues or texts. </w:t>
      </w:r>
    </w:p>
    <w:p w:rsidR="006C5E6F" w:rsidRDefault="006C5E6F" w:rsidP="006C5E6F">
      <w:pPr>
        <w:numPr>
          <w:ilvl w:val="1"/>
          <w:numId w:val="45"/>
        </w:numPr>
        <w:spacing w:before="120"/>
        <w:ind w:left="1080"/>
        <w:contextualSpacing/>
      </w:pPr>
      <w:r>
        <w:t xml:space="preserve">Support claims with evidence and reasoning. </w:t>
      </w:r>
    </w:p>
    <w:p w:rsidR="006C5E6F" w:rsidRDefault="006C5E6F" w:rsidP="006C5E6F">
      <w:pPr>
        <w:numPr>
          <w:ilvl w:val="1"/>
          <w:numId w:val="45"/>
        </w:numPr>
        <w:spacing w:before="120"/>
        <w:ind w:left="1080"/>
        <w:contextualSpacing/>
      </w:pPr>
      <w:r>
        <w:t>Introduce claims and counterclaims, and clarify the difference between them.</w:t>
      </w:r>
    </w:p>
    <w:p w:rsidR="006C5E6F" w:rsidRDefault="006C5E6F" w:rsidP="006C5E6F">
      <w:pPr>
        <w:numPr>
          <w:ilvl w:val="1"/>
          <w:numId w:val="45"/>
        </w:numPr>
        <w:spacing w:before="120"/>
        <w:ind w:left="1080"/>
        <w:contextualSpacing/>
      </w:pPr>
      <w:r>
        <w:t>Connect all of the parts of an argument.</w:t>
      </w:r>
    </w:p>
    <w:p w:rsidR="006C5E6F" w:rsidRDefault="008E2986" w:rsidP="008E2986">
      <w:pPr>
        <w:pStyle w:val="IN"/>
      </w:pPr>
      <w:r w:rsidRPr="008E2986">
        <w:t>Consider providing students with the definition of counterclaim: a claim that is opposed to an author’s central</w:t>
      </w:r>
      <w:r>
        <w:t xml:space="preserve"> or supporting</w:t>
      </w:r>
      <w:r w:rsidRPr="008E2986">
        <w:t xml:space="preserve"> claim</w:t>
      </w:r>
      <w:r>
        <w:t xml:space="preserve">. </w:t>
      </w:r>
    </w:p>
    <w:p w:rsidR="006C5E6F" w:rsidRPr="006C5E6F" w:rsidRDefault="006C5E6F" w:rsidP="006C5E6F">
      <w:pPr>
        <w:spacing w:before="180" w:line="240" w:lineRule="auto"/>
      </w:pPr>
      <w:r w:rsidRPr="006C5E6F">
        <w:t xml:space="preserve">Ask students to individually read </w:t>
      </w:r>
      <w:r>
        <w:t xml:space="preserve">W.9-10.1.b </w:t>
      </w:r>
      <w:r w:rsidRPr="006C5E6F">
        <w:t>on their tools and assess their familiarity with and mastery of the standard</w:t>
      </w:r>
    </w:p>
    <w:p w:rsidR="006C5E6F" w:rsidRPr="006C5E6F" w:rsidRDefault="006C5E6F" w:rsidP="006C5E6F">
      <w:pPr>
        <w:numPr>
          <w:ilvl w:val="0"/>
          <w:numId w:val="44"/>
        </w:numPr>
        <w:spacing w:before="120" w:after="0"/>
      </w:pPr>
      <w:r w:rsidRPr="006C5E6F">
        <w:t>Students read and assess their understanding</w:t>
      </w:r>
      <w:r>
        <w:t xml:space="preserve"> of standard W.9-10.1.b</w:t>
      </w:r>
      <w:r w:rsidRPr="006C5E6F">
        <w:t xml:space="preserve">. </w:t>
      </w:r>
    </w:p>
    <w:p w:rsidR="006C5E6F" w:rsidRPr="006C5E6F" w:rsidRDefault="006C5E6F" w:rsidP="006C5E6F">
      <w:pPr>
        <w:spacing w:before="180" w:line="240" w:lineRule="auto"/>
      </w:pPr>
      <w:r w:rsidRPr="006C5E6F">
        <w:t xml:space="preserve">Instruct students to talk in pairs about what they think the standard means. Lead a brief discussion about the standard. </w:t>
      </w:r>
    </w:p>
    <w:p w:rsidR="006C5E6F" w:rsidRPr="006C5E6F" w:rsidRDefault="006C5E6F" w:rsidP="006C5E6F">
      <w:pPr>
        <w:numPr>
          <w:ilvl w:val="0"/>
          <w:numId w:val="46"/>
        </w:numPr>
        <w:spacing w:before="120" w:after="0"/>
        <w:ind w:left="720"/>
      </w:pPr>
      <w:r w:rsidRPr="006C5E6F">
        <w:t>Student responses should include:</w:t>
      </w:r>
    </w:p>
    <w:p w:rsidR="00447B87" w:rsidRDefault="00447B87" w:rsidP="006C5E6F">
      <w:pPr>
        <w:numPr>
          <w:ilvl w:val="1"/>
          <w:numId w:val="45"/>
        </w:numPr>
        <w:spacing w:before="120"/>
        <w:ind w:left="1080"/>
        <w:contextualSpacing/>
      </w:pPr>
      <w:r>
        <w:t xml:space="preserve">Develop claims and counterclaims with evidence. </w:t>
      </w:r>
    </w:p>
    <w:p w:rsidR="008E2986" w:rsidRDefault="00447B87" w:rsidP="008E2986">
      <w:pPr>
        <w:numPr>
          <w:ilvl w:val="1"/>
          <w:numId w:val="45"/>
        </w:numPr>
        <w:spacing w:before="120"/>
        <w:ind w:left="1080"/>
        <w:contextualSpacing/>
      </w:pPr>
      <w:r>
        <w:t>Discuss the strengths and shortcomings of each claim and counterclaim.</w:t>
      </w:r>
    </w:p>
    <w:p w:rsidR="008E2986" w:rsidRDefault="008E2986" w:rsidP="008E2986">
      <w:pPr>
        <w:pStyle w:val="IN"/>
        <w:numPr>
          <w:ilvl w:val="0"/>
          <w:numId w:val="3"/>
        </w:numPr>
        <w:ind w:left="360"/>
      </w:pPr>
      <w:r>
        <w:t xml:space="preserve">Consider providing students with the definition of </w:t>
      </w:r>
      <w:r>
        <w:rPr>
          <w:i/>
        </w:rPr>
        <w:t>limitations</w:t>
      </w:r>
      <w:r>
        <w:t xml:space="preserve">: a real or imaginary point beyond which a person or thing cannot go. In the context of argument, </w:t>
      </w:r>
      <w:r>
        <w:rPr>
          <w:i/>
        </w:rPr>
        <w:t>limitations</w:t>
      </w:r>
      <w:r>
        <w:t xml:space="preserve"> may be points the author does not consider or does not develop fully or effectively.</w:t>
      </w:r>
    </w:p>
    <w:p w:rsidR="006C5E6F" w:rsidRDefault="006C5E6F" w:rsidP="006C5E6F">
      <w:pPr>
        <w:spacing w:before="180" w:line="240" w:lineRule="auto"/>
      </w:pPr>
      <w:r w:rsidRPr="006C5E6F">
        <w:t>Exp</w:t>
      </w:r>
      <w:r w:rsidR="008E2986">
        <w:t>lain to students that they will consider the claims, counterclaims, evidence, and limitations of the text in this lesson</w:t>
      </w:r>
      <w:r w:rsidRPr="006C5E6F">
        <w:t>.</w:t>
      </w:r>
    </w:p>
    <w:p w:rsidR="000B2D56" w:rsidRDefault="000B2D56" w:rsidP="00CE2836">
      <w:pPr>
        <w:pStyle w:val="LearningSequenceHeader"/>
      </w:pPr>
      <w:r>
        <w:t>Activity 2</w:t>
      </w:r>
      <w:r w:rsidRPr="000B2D56">
        <w:t xml:space="preserve">: </w:t>
      </w:r>
      <w:r>
        <w:t>Homework Accountability</w:t>
      </w:r>
      <w:r>
        <w:tab/>
        <w:t>10</w:t>
      </w:r>
      <w:r w:rsidRPr="000B2D56">
        <w:t>%</w:t>
      </w:r>
    </w:p>
    <w:p w:rsidR="00A861D9" w:rsidRPr="00427129" w:rsidRDefault="00A861D9" w:rsidP="00A861D9">
      <w:pPr>
        <w:pStyle w:val="TA"/>
      </w:pPr>
      <w:r w:rsidRPr="00E51822">
        <w:t xml:space="preserve">Instruct students to talk in pairs about how they </w:t>
      </w:r>
      <w:r>
        <w:t>applied the</w:t>
      </w:r>
      <w:r w:rsidR="005144B0">
        <w:t>ir</w:t>
      </w:r>
      <w:r>
        <w:t xml:space="preserve"> focus standard </w:t>
      </w:r>
      <w:r w:rsidRPr="00E51822">
        <w:t>to their</w:t>
      </w:r>
      <w:r>
        <w:t xml:space="preserve"> </w:t>
      </w:r>
      <w:r w:rsidRPr="00E51822">
        <w:t>text. Lead a brief share out on the previous le</w:t>
      </w:r>
      <w:r w:rsidR="00F30304">
        <w:t xml:space="preserve">sson’s AIR homework assignment. </w:t>
      </w:r>
      <w:r w:rsidRPr="00E51822">
        <w:t>Select several students (or student pairs) to explain how they applied their focus standard to their AIR text.</w:t>
      </w:r>
    </w:p>
    <w:p w:rsidR="000B2D56" w:rsidRDefault="00A861D9" w:rsidP="000B2D56">
      <w:pPr>
        <w:pStyle w:val="SA"/>
      </w:pPr>
      <w:r w:rsidRPr="00E51822">
        <w:t>Students (or student pairs) discuss and share how they applied their focus standard to their AIR text from the previous lesson’s homework.</w:t>
      </w:r>
    </w:p>
    <w:p w:rsidR="001740B9" w:rsidRDefault="001740B9" w:rsidP="00244ACE">
      <w:pPr>
        <w:pStyle w:val="TA"/>
      </w:pPr>
      <w:r>
        <w:t>Instruct student pairs to share and discuss the vocabulary words they identified and defined in the previous lesson’s homework.</w:t>
      </w:r>
    </w:p>
    <w:p w:rsidR="001740B9" w:rsidRPr="001740B9" w:rsidRDefault="001740B9" w:rsidP="00973840">
      <w:pPr>
        <w:pStyle w:val="SR"/>
      </w:pPr>
      <w:r w:rsidRPr="001740B9">
        <w:t xml:space="preserve">Students </w:t>
      </w:r>
      <w:r>
        <w:t>may identify the following word</w:t>
      </w:r>
      <w:r w:rsidRPr="001740B9">
        <w:t>:</w:t>
      </w:r>
      <w:r>
        <w:t xml:space="preserve"> </w:t>
      </w:r>
      <w:r w:rsidRPr="00D54D4F">
        <w:rPr>
          <w:i/>
        </w:rPr>
        <w:t>stakeholder</w:t>
      </w:r>
      <w:r w:rsidR="008844EE">
        <w:rPr>
          <w:i/>
        </w:rPr>
        <w:t>s</w:t>
      </w:r>
      <w:r w:rsidR="00D54D4F" w:rsidRPr="00D54D4F">
        <w:rPr>
          <w:i/>
        </w:rPr>
        <w:t xml:space="preserve">, transparent, memorandum, sourcing, </w:t>
      </w:r>
      <w:proofErr w:type="gramStart"/>
      <w:r w:rsidR="00D54D4F" w:rsidRPr="00D54D4F">
        <w:rPr>
          <w:i/>
        </w:rPr>
        <w:t>wake</w:t>
      </w:r>
      <w:proofErr w:type="gramEnd"/>
      <w:r w:rsidR="00F312E6">
        <w:t>.</w:t>
      </w:r>
      <w:r w:rsidRPr="001740B9">
        <w:t xml:space="preserve"> </w:t>
      </w:r>
    </w:p>
    <w:p w:rsidR="001740B9" w:rsidRPr="001740B9" w:rsidRDefault="001740B9" w:rsidP="00244ACE">
      <w:pPr>
        <w:pStyle w:val="IN"/>
      </w:pPr>
      <w:r w:rsidRPr="001740B9">
        <w:t>Definitions are provided in the Vocabulary box in this lesson.</w:t>
      </w:r>
    </w:p>
    <w:p w:rsidR="000B2D56" w:rsidRDefault="000B2D56" w:rsidP="00CE2836">
      <w:pPr>
        <w:pStyle w:val="LearningSequenceHeader"/>
      </w:pPr>
      <w:r w:rsidRPr="000B2D56">
        <w:t xml:space="preserve">Activity </w:t>
      </w:r>
      <w:r>
        <w:t>3</w:t>
      </w:r>
      <w:r w:rsidRPr="000B2D56">
        <w:t xml:space="preserve">: </w:t>
      </w:r>
      <w:r w:rsidR="001740B9">
        <w:t xml:space="preserve">Reading and </w:t>
      </w:r>
      <w:r w:rsidR="0095788A">
        <w:t>Discussion</w:t>
      </w:r>
      <w:r w:rsidR="0095788A">
        <w:tab/>
        <w:t>30</w:t>
      </w:r>
      <w:r w:rsidRPr="000B2D56">
        <w:t>%</w:t>
      </w:r>
    </w:p>
    <w:p w:rsidR="00DD6F05" w:rsidRPr="00244ACE" w:rsidRDefault="0060448F" w:rsidP="00DD6F05">
      <w:pPr>
        <w:pStyle w:val="TA"/>
      </w:pPr>
      <w:r w:rsidRPr="00DD6F05">
        <w:t xml:space="preserve">Instruct students to form </w:t>
      </w:r>
      <w:r w:rsidR="00E03EAE" w:rsidRPr="00DD6F05">
        <w:t xml:space="preserve">the same </w:t>
      </w:r>
      <w:r w:rsidRPr="00DD6F05">
        <w:t xml:space="preserve">pairs from </w:t>
      </w:r>
      <w:r w:rsidR="005144B0" w:rsidRPr="00DD6F05">
        <w:t xml:space="preserve">9.4.1 </w:t>
      </w:r>
      <w:r w:rsidRPr="00DD6F05">
        <w:t>Lesson 1</w:t>
      </w:r>
      <w:r w:rsidR="00643E48" w:rsidRPr="00DD6F05">
        <w:t>2</w:t>
      </w:r>
      <w:r w:rsidRPr="00DD6F05">
        <w:t xml:space="preserve">. </w:t>
      </w:r>
      <w:r w:rsidR="00DD6F05" w:rsidRPr="00244ACE">
        <w:t xml:space="preserve">Post or project each set of questions below for students to discuss. </w:t>
      </w:r>
    </w:p>
    <w:p w:rsidR="00DD6F05" w:rsidRPr="00244ACE" w:rsidRDefault="0060448F" w:rsidP="00DD6F05">
      <w:pPr>
        <w:pStyle w:val="TA"/>
      </w:pPr>
      <w:r w:rsidRPr="00DD6F05">
        <w:t>Instruct student</w:t>
      </w:r>
      <w:r w:rsidRPr="00AB5CAD">
        <w:t>s to read “</w:t>
      </w:r>
      <w:r w:rsidR="00AC0973" w:rsidRPr="00AB5CAD">
        <w:t xml:space="preserve">Bangladesh Factory Collapse: </w:t>
      </w:r>
      <w:r w:rsidRPr="00AB5CAD">
        <w:t>Who Really Pays for our Cheap Clothes</w:t>
      </w:r>
      <w:r w:rsidR="00102621" w:rsidRPr="00AB5CAD">
        <w:t>?</w:t>
      </w:r>
      <w:r w:rsidRPr="00AB5CAD">
        <w:t xml:space="preserve">” from “So what can be done?” through </w:t>
      </w:r>
      <w:r w:rsidR="002764B4" w:rsidRPr="00AB5CAD">
        <w:t xml:space="preserve">“worker-led improvements to the industry” </w:t>
      </w:r>
      <w:r w:rsidRPr="00AB5CAD">
        <w:t>(p. 2)</w:t>
      </w:r>
      <w:r w:rsidR="00DD6F05" w:rsidRPr="00AB5CAD">
        <w:t xml:space="preserve"> </w:t>
      </w:r>
      <w:r w:rsidR="00DD6F05" w:rsidRPr="00244ACE">
        <w:t xml:space="preserve">and answer the following questions before sharing out with the class. </w:t>
      </w:r>
    </w:p>
    <w:p w:rsidR="009F65A5" w:rsidRDefault="009F65A5" w:rsidP="0060448F">
      <w:pPr>
        <w:pStyle w:val="IN"/>
      </w:pPr>
      <w:r>
        <w:t xml:space="preserve">If necessary to support comprehension and fluency, consider using a masterful reading of the focus excerpt for the lesson. </w:t>
      </w:r>
    </w:p>
    <w:p w:rsidR="0060448F" w:rsidRDefault="0060448F" w:rsidP="0060448F">
      <w:pPr>
        <w:pStyle w:val="Q"/>
      </w:pPr>
      <w:r>
        <w:t>What claim does the author make in response to her question “so what can be done?”</w:t>
      </w:r>
    </w:p>
    <w:p w:rsidR="0060448F" w:rsidRDefault="0060448F" w:rsidP="0060448F">
      <w:pPr>
        <w:pStyle w:val="SR"/>
      </w:pPr>
      <w:r>
        <w:t>The author claims that the “Bangladesh Building and Fire Safety Agreement” is the “program that hopes to solve</w:t>
      </w:r>
      <w:r w:rsidR="001439E2">
        <w:t xml:space="preserve"> [the problems with safety inspections in Bangladesh]” (</w:t>
      </w:r>
      <w:r w:rsidR="007E2BB1">
        <w:t xml:space="preserve">p. </w:t>
      </w:r>
      <w:r w:rsidR="001439E2">
        <w:t>2)</w:t>
      </w:r>
      <w:r w:rsidR="00C537D5">
        <w:t xml:space="preserve"> and seems to be claiming that this proposal will be able to solve the problems </w:t>
      </w:r>
      <w:r w:rsidR="00106AA0">
        <w:t xml:space="preserve">she has </w:t>
      </w:r>
      <w:r w:rsidR="00C537D5">
        <w:t>identified.</w:t>
      </w:r>
      <w:r w:rsidR="001439E2">
        <w:t xml:space="preserve"> </w:t>
      </w:r>
    </w:p>
    <w:p w:rsidR="001439E2" w:rsidRDefault="001C1E7E" w:rsidP="001439E2">
      <w:pPr>
        <w:pStyle w:val="Q"/>
      </w:pPr>
      <w:r>
        <w:t xml:space="preserve">What effect is created by </w:t>
      </w:r>
      <w:r w:rsidR="002764B4">
        <w:t>the author</w:t>
      </w:r>
      <w:r>
        <w:t>’s claim that</w:t>
      </w:r>
      <w:r w:rsidR="002764B4">
        <w:t xml:space="preserve"> this reform </w:t>
      </w:r>
      <w:r>
        <w:t>is</w:t>
      </w:r>
      <w:r w:rsidR="002764B4">
        <w:t xml:space="preserve"> “long</w:t>
      </w:r>
      <w:r w:rsidR="005144B0">
        <w:t xml:space="preserve"> </w:t>
      </w:r>
      <w:r w:rsidR="002764B4">
        <w:t>overdue”?</w:t>
      </w:r>
    </w:p>
    <w:p w:rsidR="002764B4" w:rsidRDefault="008353D6" w:rsidP="002764B4">
      <w:pPr>
        <w:pStyle w:val="SR"/>
      </w:pPr>
      <w:r>
        <w:t>The author’s use of “long</w:t>
      </w:r>
      <w:r w:rsidR="005144B0">
        <w:t xml:space="preserve"> </w:t>
      </w:r>
      <w:r>
        <w:t>overdue”</w:t>
      </w:r>
      <w:r w:rsidR="001C1E7E">
        <w:t xml:space="preserve"> creates </w:t>
      </w:r>
      <w:r>
        <w:t>an</w:t>
      </w:r>
      <w:r w:rsidR="001C1E7E">
        <w:t xml:space="preserve"> effect of urgency. </w:t>
      </w:r>
      <w:r>
        <w:t>This claim strengthens the author’s argument by suggesting that immediate action is necessary because of all of the deaths that have occurred in Bangladesh, and all of the safety problems that still exist in the factories.</w:t>
      </w:r>
      <w:r w:rsidR="001C1E7E">
        <w:t xml:space="preserve"> </w:t>
      </w:r>
    </w:p>
    <w:p w:rsidR="002764B4" w:rsidRDefault="002764B4" w:rsidP="002764B4">
      <w:pPr>
        <w:pStyle w:val="Q"/>
      </w:pPr>
      <w:r>
        <w:t xml:space="preserve">What does the author </w:t>
      </w:r>
      <w:r w:rsidR="008353D6">
        <w:t>claim</w:t>
      </w:r>
      <w:r>
        <w:t xml:space="preserve"> is the most “crucial” element of this proposal?</w:t>
      </w:r>
      <w:r w:rsidR="00A34081">
        <w:t xml:space="preserve"> How might </w:t>
      </w:r>
      <w:r w:rsidR="008353D6">
        <w:t>this claim</w:t>
      </w:r>
      <w:r w:rsidR="00A34081">
        <w:t xml:space="preserve"> help you make meaning of “</w:t>
      </w:r>
      <w:r w:rsidR="00A34081" w:rsidRPr="00F26EC7">
        <w:rPr>
          <w:i/>
        </w:rPr>
        <w:t>transparent</w:t>
      </w:r>
      <w:r w:rsidR="00A34081">
        <w:t>” in this context?</w:t>
      </w:r>
    </w:p>
    <w:p w:rsidR="002764B4" w:rsidRDefault="002764B4" w:rsidP="002764B4">
      <w:pPr>
        <w:pStyle w:val="SR"/>
      </w:pPr>
      <w:r>
        <w:t xml:space="preserve">The author </w:t>
      </w:r>
      <w:r w:rsidR="008353D6">
        <w:t>claims</w:t>
      </w:r>
      <w:r>
        <w:t xml:space="preserve"> that </w:t>
      </w:r>
      <w:r w:rsidR="00A34081">
        <w:t>making changes “in a public way” (</w:t>
      </w:r>
      <w:r w:rsidR="007E2BB1">
        <w:t xml:space="preserve">p. </w:t>
      </w:r>
      <w:r w:rsidR="00A34081">
        <w:t xml:space="preserve">2) is the most crucial element of this proposal. Students should use </w:t>
      </w:r>
      <w:r w:rsidR="008353D6">
        <w:t>the author’s</w:t>
      </w:r>
      <w:r w:rsidR="00A34081">
        <w:t xml:space="preserve"> </w:t>
      </w:r>
      <w:r w:rsidR="008353D6">
        <w:t>claim</w:t>
      </w:r>
      <w:r w:rsidR="00A34081">
        <w:t xml:space="preserve"> about doing things in “public” to infer that “</w:t>
      </w:r>
      <w:r w:rsidR="00A34081" w:rsidRPr="00F26EC7">
        <w:rPr>
          <w:i/>
        </w:rPr>
        <w:t>transparent</w:t>
      </w:r>
      <w:r w:rsidR="00A34081">
        <w:t xml:space="preserve">” in this context means to be upfront or open about what is </w:t>
      </w:r>
      <w:r w:rsidR="008353D6">
        <w:t>happening</w:t>
      </w:r>
      <w:r w:rsidR="00A34081">
        <w:t>.</w:t>
      </w:r>
    </w:p>
    <w:p w:rsidR="00405220" w:rsidRDefault="00405220" w:rsidP="00244ACE">
      <w:pPr>
        <w:pStyle w:val="TA"/>
      </w:pPr>
      <w:r>
        <w:t>Lead a brief whole-class discussion of student responses.</w:t>
      </w:r>
    </w:p>
    <w:p w:rsidR="00AB5CAD" w:rsidRDefault="00AB5CAD" w:rsidP="00244ACE">
      <w:pPr>
        <w:pStyle w:val="BR"/>
      </w:pPr>
    </w:p>
    <w:p w:rsidR="002764B4" w:rsidRDefault="002764B4" w:rsidP="002764B4">
      <w:pPr>
        <w:pStyle w:val="TA"/>
      </w:pPr>
      <w:r>
        <w:t xml:space="preserve">Instruct students to read from “In the </w:t>
      </w:r>
      <w:r w:rsidRPr="00F26EC7">
        <w:rPr>
          <w:i/>
        </w:rPr>
        <w:t>wake</w:t>
      </w:r>
      <w:r>
        <w:t xml:space="preserve"> of tragedies such as” through “We hope none” (p. 3)</w:t>
      </w:r>
      <w:r w:rsidR="00AB5CAD">
        <w:t xml:space="preserve"> and answer the following questions before sharing out with the class.</w:t>
      </w:r>
    </w:p>
    <w:p w:rsidR="002764B4" w:rsidRDefault="00C537D5" w:rsidP="002764B4">
      <w:pPr>
        <w:pStyle w:val="Q"/>
      </w:pPr>
      <w:r>
        <w:t>How</w:t>
      </w:r>
      <w:r w:rsidR="002764B4">
        <w:t xml:space="preserve"> does the author</w:t>
      </w:r>
      <w:r>
        <w:t xml:space="preserve"> refine her claim</w:t>
      </w:r>
      <w:r w:rsidR="002764B4">
        <w:t xml:space="preserve"> about the “Bangladesh Building and Fire Safety Agreement” in this section?</w:t>
      </w:r>
    </w:p>
    <w:p w:rsidR="002764B4" w:rsidRDefault="00A34081" w:rsidP="002764B4">
      <w:pPr>
        <w:pStyle w:val="SR"/>
      </w:pPr>
      <w:r>
        <w:t>The author claims that this proposal is the “best by far” and</w:t>
      </w:r>
      <w:r w:rsidR="00400318">
        <w:t xml:space="preserve"> that it</w:t>
      </w:r>
      <w:r>
        <w:t xml:space="preserve"> will be able to “make a change” in the garment industry (</w:t>
      </w:r>
      <w:r w:rsidR="007E2BB1">
        <w:t xml:space="preserve">p. </w:t>
      </w:r>
      <w:r>
        <w:t>3).</w:t>
      </w:r>
    </w:p>
    <w:p w:rsidR="002764B4" w:rsidRDefault="002764B4" w:rsidP="002764B4">
      <w:pPr>
        <w:pStyle w:val="Q"/>
      </w:pPr>
      <w:r>
        <w:t>What evidence does the author use to support this claim?</w:t>
      </w:r>
    </w:p>
    <w:p w:rsidR="001455F6" w:rsidRDefault="007E2BB1" w:rsidP="001455F6">
      <w:pPr>
        <w:pStyle w:val="SR"/>
      </w:pPr>
      <w:r>
        <w:t>T</w:t>
      </w:r>
      <w:r w:rsidR="00A34081">
        <w:t>he autho</w:t>
      </w:r>
      <w:r>
        <w:t>r</w:t>
      </w:r>
      <w:r w:rsidR="00A34081">
        <w:t xml:space="preserve"> cite</w:t>
      </w:r>
      <w:r>
        <w:t>s</w:t>
      </w:r>
      <w:r w:rsidR="00A34081">
        <w:t xml:space="preserve"> the signing of a major company “PVH, owner of Calvin Klein and Tommy Hilfiger” (</w:t>
      </w:r>
      <w:r>
        <w:t xml:space="preserve">p. </w:t>
      </w:r>
      <w:r w:rsidR="00A34081">
        <w:t xml:space="preserve">2) as evidence of the proposal’s strength, as well as the fact that it is “supported by all key labor </w:t>
      </w:r>
      <w:r w:rsidR="00A34081" w:rsidRPr="00F26EC7">
        <w:rPr>
          <w:i/>
        </w:rPr>
        <w:t>stakeholders</w:t>
      </w:r>
      <w:r w:rsidR="00A34081">
        <w:t xml:space="preserve"> in Bangladesh and internationally” (</w:t>
      </w:r>
      <w:r>
        <w:t xml:space="preserve">p. </w:t>
      </w:r>
      <w:r w:rsidR="00A34081">
        <w:t>2). Since the author does not give any other examples of possible options</w:t>
      </w:r>
      <w:r w:rsidR="00730571">
        <w:t>,</w:t>
      </w:r>
      <w:r w:rsidR="00A34081">
        <w:t xml:space="preserve"> it is hard to know that this is the “best by far” </w:t>
      </w:r>
      <w:r w:rsidR="00F30304">
        <w:br/>
      </w:r>
      <w:r w:rsidR="00A34081">
        <w:t>(</w:t>
      </w:r>
      <w:r>
        <w:t xml:space="preserve">p. </w:t>
      </w:r>
      <w:r w:rsidR="00A34081">
        <w:t>3)</w:t>
      </w:r>
      <w:r w:rsidR="005144B0">
        <w:t>.</w:t>
      </w:r>
    </w:p>
    <w:p w:rsidR="00170815" w:rsidRDefault="00170815" w:rsidP="00170815">
      <w:pPr>
        <w:pStyle w:val="Q"/>
      </w:pPr>
      <w:r>
        <w:t xml:space="preserve">What is the rhetorical effect of the evidence the author uses to support her claim about the “Bangladesh Building and Fire Safety Agreement”?  </w:t>
      </w:r>
    </w:p>
    <w:p w:rsidR="00080611" w:rsidRPr="004548B0" w:rsidRDefault="00170815" w:rsidP="00170815">
      <w:pPr>
        <w:pStyle w:val="SR"/>
      </w:pPr>
      <w:r>
        <w:t>The author uses appeal to authority to support her claim, by demonstrating that</w:t>
      </w:r>
      <w:r w:rsidR="00C537D5" w:rsidRPr="004548B0">
        <w:t xml:space="preserve"> many important people in Bangladesh, and around the world, support this proposal.</w:t>
      </w:r>
    </w:p>
    <w:p w:rsidR="002764B4" w:rsidRDefault="002764B4" w:rsidP="002764B4">
      <w:pPr>
        <w:pStyle w:val="Q"/>
      </w:pPr>
      <w:r>
        <w:t>What rhetorical technique does the au</w:t>
      </w:r>
      <w:r w:rsidR="00A34081">
        <w:t xml:space="preserve">thor employ in </w:t>
      </w:r>
      <w:r w:rsidR="001455F6">
        <w:t>her conclusion</w:t>
      </w:r>
      <w:r w:rsidR="00A34081">
        <w:t xml:space="preserve"> and how does it advance her point of view?</w:t>
      </w:r>
    </w:p>
    <w:p w:rsidR="002764B4" w:rsidRDefault="002764B4" w:rsidP="002764B4">
      <w:pPr>
        <w:pStyle w:val="SR"/>
      </w:pPr>
      <w:r>
        <w:t>The author ends the piece with a rhetorical question “how many more deaths will it take</w:t>
      </w:r>
      <w:r w:rsidR="00F30304">
        <w:t xml:space="preserve"> </w:t>
      </w:r>
      <w:r>
        <w:t xml:space="preserve">…?” </w:t>
      </w:r>
      <w:r w:rsidR="00F30304">
        <w:br/>
      </w:r>
      <w:r>
        <w:t>(</w:t>
      </w:r>
      <w:r w:rsidR="00F30304">
        <w:t xml:space="preserve">p. </w:t>
      </w:r>
      <w:r>
        <w:t>3)</w:t>
      </w:r>
      <w:r w:rsidR="00255F4F">
        <w:t>,</w:t>
      </w:r>
      <w:r>
        <w:t xml:space="preserve"> which creates an effect of urgency in the text because </w:t>
      </w:r>
      <w:r w:rsidR="005144B0">
        <w:t>i</w:t>
      </w:r>
      <w:r>
        <w:t>t reminds the reader tha</w:t>
      </w:r>
      <w:r w:rsidR="00B5004E">
        <w:t>t</w:t>
      </w:r>
      <w:r>
        <w:t xml:space="preserve"> this is an issue of life or death.</w:t>
      </w:r>
      <w:r w:rsidR="00A34081">
        <w:t xml:space="preserve"> It advances the author’s point of view by making the issue seem really urgent and something that everyone should care about as much as the author does.</w:t>
      </w:r>
    </w:p>
    <w:p w:rsidR="00A71BB5" w:rsidRDefault="00A71BB5" w:rsidP="00A71BB5">
      <w:pPr>
        <w:pStyle w:val="BR"/>
      </w:pPr>
    </w:p>
    <w:p w:rsidR="001455F6" w:rsidRDefault="00585C89" w:rsidP="001455F6">
      <w:pPr>
        <w:pStyle w:val="SR"/>
        <w:numPr>
          <w:ilvl w:val="0"/>
          <w:numId w:val="0"/>
        </w:numPr>
      </w:pPr>
      <w:r w:rsidRPr="0058031D">
        <w:rPr>
          <w:rStyle w:val="TAChar"/>
        </w:rPr>
        <w:t>Remind students that they are working toward w</w:t>
      </w:r>
      <w:r w:rsidR="00A71BB5">
        <w:rPr>
          <w:rStyle w:val="TAChar"/>
        </w:rPr>
        <w:t>riting their own arguments in support of W.9-10.1, and p</w:t>
      </w:r>
      <w:r w:rsidRPr="0058031D">
        <w:rPr>
          <w:rStyle w:val="TAChar"/>
        </w:rPr>
        <w:t xml:space="preserve">art of being able to write arguments well is being able to identify what is happening in the argument writing of other texts. </w:t>
      </w:r>
      <w:r w:rsidR="003A2ACD" w:rsidRPr="0058031D">
        <w:rPr>
          <w:rStyle w:val="TAChar"/>
        </w:rPr>
        <w:t>Post or project the following questions for students to answer in pairs</w:t>
      </w:r>
      <w:r w:rsidR="003A2ACD">
        <w:t>.</w:t>
      </w:r>
    </w:p>
    <w:p w:rsidR="00080611" w:rsidRDefault="00AC0973">
      <w:pPr>
        <w:pStyle w:val="IN"/>
      </w:pPr>
      <w:r w:rsidRPr="000676BE">
        <w:t>It may be helpful to review with students the terms that are being use</w:t>
      </w:r>
      <w:r w:rsidR="007E2BB1">
        <w:t>d</w:t>
      </w:r>
      <w:r w:rsidRPr="000676BE">
        <w:t xml:space="preserve"> in this module to discuss argument and argument writing: </w:t>
      </w:r>
      <w:r w:rsidRPr="00170815">
        <w:rPr>
          <w:i/>
        </w:rPr>
        <w:t>argument</w:t>
      </w:r>
      <w:r w:rsidRPr="000676BE">
        <w:t xml:space="preserve"> </w:t>
      </w:r>
      <w:r w:rsidR="00AB5CAD">
        <w:t xml:space="preserve">means </w:t>
      </w:r>
      <w:r w:rsidRPr="000676BE">
        <w:t>the composition of precise claims about a topic, including relevant and sufficient evidence, and valid reasoning</w:t>
      </w:r>
      <w:r w:rsidR="00AB5CAD">
        <w:t>;</w:t>
      </w:r>
      <w:r w:rsidRPr="000676BE">
        <w:t xml:space="preserve"> </w:t>
      </w:r>
      <w:r w:rsidRPr="00170815">
        <w:rPr>
          <w:i/>
        </w:rPr>
        <w:t>central claim</w:t>
      </w:r>
      <w:r w:rsidRPr="000676BE">
        <w:t xml:space="preserve"> </w:t>
      </w:r>
      <w:r w:rsidR="00AB5CAD">
        <w:t xml:space="preserve">means </w:t>
      </w:r>
      <w:r w:rsidRPr="000676BE">
        <w:t>an author or speaker’s main point about an issue in an argument</w:t>
      </w:r>
      <w:r w:rsidR="00AB5CAD">
        <w:t>;</w:t>
      </w:r>
      <w:r w:rsidRPr="000676BE">
        <w:t xml:space="preserve"> </w:t>
      </w:r>
      <w:r w:rsidRPr="00170815">
        <w:rPr>
          <w:i/>
        </w:rPr>
        <w:t>supporting claim</w:t>
      </w:r>
      <w:r w:rsidRPr="000676BE">
        <w:t xml:space="preserve"> </w:t>
      </w:r>
      <w:r w:rsidR="00AB5CAD">
        <w:t xml:space="preserve">means </w:t>
      </w:r>
      <w:r w:rsidRPr="000676BE">
        <w:t>smaller, related points that reinforce or advance the central claim</w:t>
      </w:r>
      <w:r w:rsidR="00AB5CAD">
        <w:t>;</w:t>
      </w:r>
      <w:r w:rsidRPr="000676BE">
        <w:t xml:space="preserve"> </w:t>
      </w:r>
      <w:r w:rsidRPr="00170815">
        <w:rPr>
          <w:i/>
        </w:rPr>
        <w:t>evidence</w:t>
      </w:r>
      <w:r w:rsidRPr="000676BE">
        <w:t xml:space="preserve"> </w:t>
      </w:r>
      <w:r w:rsidR="00AB5CAD">
        <w:t xml:space="preserve">means </w:t>
      </w:r>
      <w:r w:rsidRPr="000676BE">
        <w:t>the topical and textual facts, events, and ideas from which the claims of an argument arise, and which are cited to support those claims</w:t>
      </w:r>
      <w:r w:rsidR="00AB5CAD">
        <w:t>;</w:t>
      </w:r>
      <w:r w:rsidRPr="000676BE">
        <w:t xml:space="preserve"> and </w:t>
      </w:r>
      <w:r w:rsidRPr="00170815">
        <w:rPr>
          <w:i/>
        </w:rPr>
        <w:t xml:space="preserve">reasoning </w:t>
      </w:r>
      <w:r w:rsidR="00AB5CAD">
        <w:t xml:space="preserve">means </w:t>
      </w:r>
      <w:r w:rsidRPr="000676BE">
        <w:t>the logical relationships among ideas, including relationships among claims and relationships across evidence.</w:t>
      </w:r>
    </w:p>
    <w:p w:rsidR="001455F6" w:rsidRDefault="00B6055F" w:rsidP="001455F6">
      <w:pPr>
        <w:pStyle w:val="Q"/>
      </w:pPr>
      <w:r>
        <w:t>Identify the central</w:t>
      </w:r>
      <w:r w:rsidR="00A71BB5">
        <w:t xml:space="preserve"> claim of and a coun</w:t>
      </w:r>
      <w:r>
        <w:t>terclaim</w:t>
      </w:r>
      <w:r w:rsidR="00A71BB5">
        <w:t xml:space="preserve"> present in “Bangladesh Factory Collapse: </w:t>
      </w:r>
      <w:r w:rsidR="00A71BB5" w:rsidRPr="00967C5C">
        <w:rPr>
          <w:rFonts w:asciiTheme="minorHAnsi" w:hAnsiTheme="minorHAnsi"/>
        </w:rPr>
        <w:t xml:space="preserve">Who Really </w:t>
      </w:r>
      <w:proofErr w:type="gramStart"/>
      <w:r w:rsidR="00A71BB5" w:rsidRPr="00967C5C">
        <w:rPr>
          <w:rFonts w:asciiTheme="minorHAnsi" w:hAnsiTheme="minorHAnsi"/>
        </w:rPr>
        <w:t>Pays</w:t>
      </w:r>
      <w:proofErr w:type="gramEnd"/>
      <w:r w:rsidR="00A71BB5" w:rsidRPr="00967C5C">
        <w:rPr>
          <w:rFonts w:asciiTheme="minorHAnsi" w:hAnsiTheme="minorHAnsi"/>
        </w:rPr>
        <w:t xml:space="preserve"> for our Cheap Clothes?</w:t>
      </w:r>
      <w:r w:rsidR="00A71BB5">
        <w:rPr>
          <w:rFonts w:asciiTheme="minorHAnsi" w:hAnsiTheme="minorHAnsi"/>
        </w:rPr>
        <w:t>”</w:t>
      </w:r>
    </w:p>
    <w:p w:rsidR="00585C89" w:rsidRDefault="00585C89" w:rsidP="00B6055F">
      <w:pPr>
        <w:pStyle w:val="SR"/>
      </w:pPr>
      <w:r>
        <w:t>B</w:t>
      </w:r>
      <w:r w:rsidR="00504F45">
        <w:t xml:space="preserve">usinesses are responsible </w:t>
      </w:r>
      <w:r w:rsidR="00E37D41">
        <w:t>for changing</w:t>
      </w:r>
      <w:r w:rsidR="00504F45">
        <w:t xml:space="preserve"> the garment labor conditions in Bangladesh</w:t>
      </w:r>
      <w:r w:rsidR="00B6055F">
        <w:t>:</w:t>
      </w:r>
      <w:r>
        <w:t xml:space="preserve"> “the brands, not the consumer, are the ones who must take responsibility” (</w:t>
      </w:r>
      <w:r w:rsidR="007E2BB1">
        <w:t xml:space="preserve">p. </w:t>
      </w:r>
      <w:r>
        <w:t>2)</w:t>
      </w:r>
      <w:r w:rsidR="00AB5CAD">
        <w:t>.</w:t>
      </w:r>
      <w:r>
        <w:t xml:space="preserve"> A counterclaim </w:t>
      </w:r>
      <w:r w:rsidR="00A71BB5">
        <w:t>presented</w:t>
      </w:r>
      <w:r>
        <w:t xml:space="preserve"> in the text is the view that businesses do not need to do anything because “it is not [business’] fault</w:t>
      </w:r>
      <w:r w:rsidR="00F30304">
        <w:t>—</w:t>
      </w:r>
      <w:r>
        <w:t>[the consumers] bought it” (</w:t>
      </w:r>
      <w:r w:rsidR="007E2BB1">
        <w:t xml:space="preserve">p. </w:t>
      </w:r>
      <w:r>
        <w:t>2)</w:t>
      </w:r>
      <w:r w:rsidR="00AB5CAD">
        <w:t>.</w:t>
      </w:r>
    </w:p>
    <w:p w:rsidR="006E38F9" w:rsidRDefault="000E76EE" w:rsidP="006E38F9">
      <w:pPr>
        <w:pStyle w:val="IN"/>
      </w:pPr>
      <w:r w:rsidRPr="000E76EE">
        <w:rPr>
          <w:b/>
        </w:rPr>
        <w:t>Differentiation Consideration</w:t>
      </w:r>
      <w:r>
        <w:t xml:space="preserve">: </w:t>
      </w:r>
      <w:r w:rsidR="006E38F9">
        <w:t xml:space="preserve">If students struggle, encourage them to return to the section of the text </w:t>
      </w:r>
      <w:r w:rsidR="00AF4AA1">
        <w:t>in which</w:t>
      </w:r>
      <w:r w:rsidR="006E38F9">
        <w:t xml:space="preserve"> th</w:t>
      </w:r>
      <w:r w:rsidR="00C463E1">
        <w:t xml:space="preserve">e author </w:t>
      </w:r>
      <w:r w:rsidR="00504F45">
        <w:t>personifies business and summarizes her main point using the transitional phrase “in short” (p. 2)</w:t>
      </w:r>
      <w:r w:rsidR="00405220">
        <w:t>.</w:t>
      </w:r>
    </w:p>
    <w:p w:rsidR="00B6055F" w:rsidRDefault="00AF4AA1" w:rsidP="00D56793">
      <w:pPr>
        <w:pStyle w:val="Q"/>
      </w:pPr>
      <w:r>
        <w:t xml:space="preserve">How does the author develop </w:t>
      </w:r>
      <w:r w:rsidR="007E6774">
        <w:t>the claim and counterclaim you identified in your response to the previous question</w:t>
      </w:r>
      <w:r>
        <w:t xml:space="preserve">? </w:t>
      </w:r>
      <w:r w:rsidR="007E6774">
        <w:t>Give examples.</w:t>
      </w:r>
    </w:p>
    <w:p w:rsidR="00AF4AA1" w:rsidRDefault="007E6774" w:rsidP="007E6774">
      <w:pPr>
        <w:pStyle w:val="SR"/>
      </w:pPr>
      <w:r>
        <w:t>The author uses evidence to support her claim(s) and counterclaim. To support her central claim, the author cites the “United Nations guiding principles” as strong evidence that “mass corporate businesses” are responsible for making change. To develop the counterclaim, the author identifies that “consumer apathy” (p. 1) exists.</w:t>
      </w:r>
    </w:p>
    <w:p w:rsidR="00AF4AA1" w:rsidRDefault="00AF4AA1" w:rsidP="00D56793">
      <w:pPr>
        <w:pStyle w:val="Q"/>
      </w:pPr>
      <w:r>
        <w:t xml:space="preserve">What might it mean to develop claims and counterclaims “fairly”? </w:t>
      </w:r>
    </w:p>
    <w:p w:rsidR="00AF4AA1" w:rsidRDefault="005072EE" w:rsidP="007E6774">
      <w:pPr>
        <w:pStyle w:val="SR"/>
      </w:pPr>
      <w:r>
        <w:t xml:space="preserve">An author must show the “strengths and limitations” of the claims and counterclaims. </w:t>
      </w:r>
    </w:p>
    <w:p w:rsidR="007E6774" w:rsidRDefault="007E6774" w:rsidP="00D56793">
      <w:pPr>
        <w:pStyle w:val="Q"/>
      </w:pPr>
      <w:r>
        <w:t xml:space="preserve">What are some limitations of the author’s argument in this text? </w:t>
      </w:r>
    </w:p>
    <w:p w:rsidR="00D56793" w:rsidRDefault="00400318" w:rsidP="00D56793">
      <w:pPr>
        <w:pStyle w:val="SR"/>
      </w:pPr>
      <w:r>
        <w:t xml:space="preserve">The text </w:t>
      </w:r>
      <w:r w:rsidR="005072EE">
        <w:t>may</w:t>
      </w:r>
      <w:r>
        <w:t xml:space="preserve"> need to go into </w:t>
      </w:r>
      <w:r w:rsidR="00D56793">
        <w:t xml:space="preserve">more </w:t>
      </w:r>
      <w:r w:rsidR="005072EE">
        <w:t xml:space="preserve">detail about the specifics of the Bangladesh Building and Fire Safety Agreement. </w:t>
      </w:r>
      <w:r>
        <w:t>S</w:t>
      </w:r>
      <w:r w:rsidR="00504F45">
        <w:t>ince the author says “this proposal is the best on the table by far” (</w:t>
      </w:r>
      <w:r w:rsidR="00405220">
        <w:t xml:space="preserve">p. </w:t>
      </w:r>
      <w:r w:rsidR="00504F45">
        <w:t>3) there is an implication that there are other proposals “on the table</w:t>
      </w:r>
      <w:r w:rsidR="005072EE">
        <w:t>,</w:t>
      </w:r>
      <w:r w:rsidR="00504F45">
        <w:t>” but the author does not identify what they are</w:t>
      </w:r>
      <w:r w:rsidR="005072EE">
        <w:t>. T</w:t>
      </w:r>
      <w:r>
        <w:t>he text would need to give</w:t>
      </w:r>
      <w:r w:rsidR="000F58E1">
        <w:t xml:space="preserve"> other options in order</w:t>
      </w:r>
      <w:r>
        <w:t xml:space="preserve"> for the reader</w:t>
      </w:r>
      <w:r w:rsidR="000F58E1">
        <w:t xml:space="preserve"> to agree that this is the “best” (</w:t>
      </w:r>
      <w:r w:rsidR="00405220">
        <w:t xml:space="preserve">p. </w:t>
      </w:r>
      <w:r w:rsidR="000F58E1">
        <w:t>3)</w:t>
      </w:r>
      <w:r w:rsidR="00504F45">
        <w:t>.</w:t>
      </w:r>
    </w:p>
    <w:p w:rsidR="00080611" w:rsidRDefault="003A2ACD">
      <w:pPr>
        <w:pStyle w:val="TA"/>
      </w:pPr>
      <w:r>
        <w:t xml:space="preserve">Lead a brief </w:t>
      </w:r>
      <w:r w:rsidR="00F30304">
        <w:t>whole</w:t>
      </w:r>
      <w:r>
        <w:t xml:space="preserve">-class </w:t>
      </w:r>
      <w:r w:rsidR="00600CBE">
        <w:t>discussion</w:t>
      </w:r>
      <w:r>
        <w:t xml:space="preserve"> of student responses.</w:t>
      </w:r>
    </w:p>
    <w:p w:rsidR="00707670" w:rsidRDefault="00707670" w:rsidP="00707670">
      <w:pPr>
        <w:pStyle w:val="LearningSequenceHeader"/>
      </w:pPr>
      <w:r>
        <w:t>Activity 4</w:t>
      </w:r>
      <w:r w:rsidR="00A861D9">
        <w:t xml:space="preserve">: </w:t>
      </w:r>
      <w:r w:rsidR="003C0F73">
        <w:t>Evaluating Argument and Evidence Tool</w:t>
      </w:r>
      <w:r w:rsidR="00FD7D29">
        <w:t xml:space="preserve"> and Assessment</w:t>
      </w:r>
      <w:r w:rsidR="00A861D9">
        <w:tab/>
        <w:t>45</w:t>
      </w:r>
      <w:r w:rsidRPr="00707670">
        <w:t>%</w:t>
      </w:r>
    </w:p>
    <w:p w:rsidR="00A47C04" w:rsidRDefault="00A861D9" w:rsidP="00A861D9">
      <w:pPr>
        <w:pStyle w:val="TA"/>
      </w:pPr>
      <w:r>
        <w:t xml:space="preserve">Distribute copies of the </w:t>
      </w:r>
      <w:r w:rsidR="003C0F73">
        <w:t xml:space="preserve">Evaluating Argument and Evidence Tool </w:t>
      </w:r>
      <w:r>
        <w:t xml:space="preserve">to students. Instruct students to complete the </w:t>
      </w:r>
      <w:r w:rsidR="003C0F73">
        <w:t>Evaluating Argument and Evidence Tool</w:t>
      </w:r>
      <w:r w:rsidR="00F30304">
        <w:t xml:space="preserve"> </w:t>
      </w:r>
      <w:r>
        <w:t>in their pairs</w:t>
      </w:r>
      <w:r w:rsidR="00A879EB">
        <w:t>, using claims and evidence from the entire text of “</w:t>
      </w:r>
      <w:r w:rsidR="00BD2C01">
        <w:t xml:space="preserve">Bangladesh Factory Collapse: </w:t>
      </w:r>
      <w:r w:rsidR="00A879EB">
        <w:t>Who Really Pays for our Cheap Clothes?</w:t>
      </w:r>
      <w:r w:rsidR="00AD02DD">
        <w:t>”</w:t>
      </w:r>
      <w:r w:rsidR="009F59AB">
        <w:t xml:space="preserve"> </w:t>
      </w:r>
      <w:r w:rsidR="00A47C04">
        <w:t xml:space="preserve">Inform </w:t>
      </w:r>
      <w:r w:rsidR="009F59AB">
        <w:t>students that th</w:t>
      </w:r>
      <w:r w:rsidR="00400318">
        <w:t>e</w:t>
      </w:r>
      <w:r w:rsidR="009F59AB">
        <w:t xml:space="preserve"> “</w:t>
      </w:r>
      <w:r w:rsidR="003C0F73">
        <w:t>Question</w:t>
      </w:r>
      <w:r w:rsidR="009F59AB">
        <w:t xml:space="preserve">” </w:t>
      </w:r>
      <w:r w:rsidR="00A47C04">
        <w:t>to which they are asked to respond</w:t>
      </w:r>
      <w:r w:rsidR="009F59AB">
        <w:t xml:space="preserve"> is also their Mid-Unit </w:t>
      </w:r>
      <w:r w:rsidR="00931BCF">
        <w:t>A</w:t>
      </w:r>
      <w:r w:rsidR="009F59AB">
        <w:t xml:space="preserve">ssessment question: </w:t>
      </w:r>
    </w:p>
    <w:p w:rsidR="00A47C04" w:rsidRDefault="00A765A2" w:rsidP="00A861D9">
      <w:pPr>
        <w:pStyle w:val="TA"/>
        <w:rPr>
          <w:b/>
        </w:rPr>
      </w:pPr>
      <w:r w:rsidRPr="00527D1C">
        <w:rPr>
          <w:rStyle w:val="QChar"/>
          <w:rFonts w:eastAsia="Calibri"/>
        </w:rPr>
        <w:t>Who bears the most responsibility for ensuring that clothes are ethically manufactured?</w:t>
      </w:r>
      <w:r w:rsidRPr="00A765A2">
        <w:rPr>
          <w:b/>
        </w:rPr>
        <w:t xml:space="preserve"> </w:t>
      </w:r>
    </w:p>
    <w:p w:rsidR="00707670" w:rsidRPr="009F59AB" w:rsidRDefault="009F59AB" w:rsidP="00A861D9">
      <w:pPr>
        <w:pStyle w:val="TA"/>
      </w:pPr>
      <w:r>
        <w:t>Instruct students to fill in the “</w:t>
      </w:r>
      <w:r w:rsidR="00BD2C01">
        <w:t>Question</w:t>
      </w:r>
      <w:r>
        <w:t>” box on their tool with this question.</w:t>
      </w:r>
    </w:p>
    <w:p w:rsidR="00A879EB" w:rsidRDefault="00A879EB" w:rsidP="00A879EB">
      <w:pPr>
        <w:pStyle w:val="IN"/>
      </w:pPr>
      <w:r>
        <w:t xml:space="preserve">Students were introduced to this tool in </w:t>
      </w:r>
      <w:r w:rsidR="00CC6AD0">
        <w:t xml:space="preserve">9.4.1 </w:t>
      </w:r>
      <w:r>
        <w:t>Lesson 1</w:t>
      </w:r>
      <w:r w:rsidR="00931BCF">
        <w:t>0</w:t>
      </w:r>
      <w:r>
        <w:t>, but it may be helpful to briefly review the tool and instructions with students.</w:t>
      </w:r>
      <w:r w:rsidR="009F65A5">
        <w:t xml:space="preserve"> Consider reminding students that completion of the tool</w:t>
      </w:r>
      <w:r w:rsidR="009F65A5" w:rsidRPr="0098398D">
        <w:t xml:space="preserve"> supports engagement with </w:t>
      </w:r>
      <w:r w:rsidR="009F65A5">
        <w:t>RI.9-10.6, which asks students to consider author’s purpose and point of view, and R.9-10.8,</w:t>
      </w:r>
      <w:r w:rsidR="009F65A5" w:rsidRPr="0098398D">
        <w:t xml:space="preserve"> which </w:t>
      </w:r>
      <w:r w:rsidR="009F65A5">
        <w:t>asks students to delineate and evaluate arguments</w:t>
      </w:r>
      <w:r w:rsidR="009F65A5" w:rsidRPr="0098398D">
        <w:t>.</w:t>
      </w:r>
    </w:p>
    <w:p w:rsidR="003C0F73" w:rsidRDefault="003C0F73" w:rsidP="00A879EB">
      <w:pPr>
        <w:pStyle w:val="IN"/>
      </w:pPr>
      <w:r>
        <w:t xml:space="preserve">Students may use their </w:t>
      </w:r>
      <w:r w:rsidR="00CC6AD0">
        <w:t xml:space="preserve">9.4.1 </w:t>
      </w:r>
      <w:r>
        <w:t>Lesson 1</w:t>
      </w:r>
      <w:r w:rsidR="00931BCF">
        <w:t>2</w:t>
      </w:r>
      <w:r>
        <w:t xml:space="preserve"> Quick Write and notes to fill in the optional “Author’s Point of View or Purpose” box on their tool</w:t>
      </w:r>
      <w:r w:rsidR="00F26EC7">
        <w:t>.</w:t>
      </w:r>
    </w:p>
    <w:p w:rsidR="00A879EB" w:rsidRDefault="00A879EB" w:rsidP="00A879EB">
      <w:pPr>
        <w:pStyle w:val="SA"/>
      </w:pPr>
      <w:r>
        <w:t xml:space="preserve">Students complete the </w:t>
      </w:r>
      <w:r w:rsidR="003C0F73">
        <w:t>Evaluating Argument and Evidence Tool</w:t>
      </w:r>
      <w:r w:rsidR="00F30304">
        <w:t xml:space="preserve"> </w:t>
      </w:r>
      <w:r>
        <w:t>in pairs.</w:t>
      </w:r>
    </w:p>
    <w:p w:rsidR="00F57091" w:rsidRDefault="00A879EB" w:rsidP="00A879EB">
      <w:pPr>
        <w:pStyle w:val="TA"/>
      </w:pPr>
      <w:r>
        <w:t xml:space="preserve">Collect the </w:t>
      </w:r>
      <w:r w:rsidR="003C0F73">
        <w:t>Evaluating Argument and Evidence Tool</w:t>
      </w:r>
      <w:r w:rsidR="00F30304">
        <w:t xml:space="preserve"> </w:t>
      </w:r>
      <w:r>
        <w:t>for individual student assessment.</w:t>
      </w:r>
    </w:p>
    <w:p w:rsidR="00A879EB" w:rsidRDefault="00912D8D" w:rsidP="00244ACE">
      <w:pPr>
        <w:pStyle w:val="IN"/>
      </w:pPr>
      <w:r w:rsidRPr="00244ACE">
        <w:rPr>
          <w:rStyle w:val="INChar"/>
        </w:rPr>
        <w:t xml:space="preserve">The </w:t>
      </w:r>
      <w:r w:rsidR="00BC6AC5" w:rsidRPr="00244ACE">
        <w:rPr>
          <w:rStyle w:val="INChar"/>
        </w:rPr>
        <w:t>Evaluating Argument and Evidence Tool serves as the assessment for this lesson</w:t>
      </w:r>
      <w:r w:rsidR="00BC6AC5">
        <w:t>.</w:t>
      </w:r>
    </w:p>
    <w:p w:rsidR="001454B6" w:rsidRPr="00A861D9" w:rsidRDefault="001454B6" w:rsidP="001454B6">
      <w:pPr>
        <w:pStyle w:val="IN"/>
      </w:pPr>
      <w:r>
        <w:t xml:space="preserve">Students will need their completed tools for reference in Lesson 24. </w:t>
      </w:r>
    </w:p>
    <w:p w:rsidR="009403AD" w:rsidRPr="00563CB8" w:rsidRDefault="00A861D9" w:rsidP="00CE2836">
      <w:pPr>
        <w:pStyle w:val="LearningSequenceHeader"/>
      </w:pPr>
      <w:r>
        <w:t>Activity 5</w:t>
      </w:r>
      <w:r w:rsidR="009403AD" w:rsidRPr="00563CB8">
        <w:t xml:space="preserve">: </w:t>
      </w:r>
      <w:r w:rsidR="009403AD">
        <w:t>Closing</w:t>
      </w:r>
      <w:r w:rsidR="009403AD" w:rsidRPr="00563CB8">
        <w:tab/>
      </w:r>
      <w:r w:rsidR="009403AD">
        <w:t>5</w:t>
      </w:r>
      <w:r w:rsidR="009403AD" w:rsidRPr="00563CB8">
        <w:t>%</w:t>
      </w:r>
    </w:p>
    <w:p w:rsidR="009403AD" w:rsidRPr="003C0F73" w:rsidRDefault="00A861D9" w:rsidP="003C0F73">
      <w:pPr>
        <w:pStyle w:val="TA"/>
      </w:pPr>
      <w:r>
        <w:t>Display and distribute the homework assignment.</w:t>
      </w:r>
      <w:r w:rsidR="00332053">
        <w:rPr>
          <w:rStyle w:val="QChar"/>
          <w:rFonts w:eastAsia="Calibri"/>
          <w:b w:val="0"/>
        </w:rPr>
        <w:t xml:space="preserve"> </w:t>
      </w:r>
      <w:r w:rsidR="00400318">
        <w:rPr>
          <w:rStyle w:val="QChar"/>
          <w:rFonts w:eastAsia="Calibri"/>
          <w:b w:val="0"/>
        </w:rPr>
        <w:t>For homework, instruct students to</w:t>
      </w:r>
      <w:r w:rsidR="00F25224">
        <w:rPr>
          <w:rStyle w:val="QChar"/>
          <w:rFonts w:eastAsia="Calibri"/>
          <w:b w:val="0"/>
        </w:rPr>
        <w:t xml:space="preserve"> </w:t>
      </w:r>
      <w:r w:rsidR="00332053">
        <w:rPr>
          <w:rStyle w:val="QChar"/>
          <w:rFonts w:eastAsia="Calibri"/>
          <w:b w:val="0"/>
        </w:rPr>
        <w:t>draft a claim in response to the</w:t>
      </w:r>
      <w:r w:rsidR="00332053">
        <w:t xml:space="preserve"> </w:t>
      </w:r>
      <w:r w:rsidR="00931BCF">
        <w:t>M</w:t>
      </w:r>
      <w:r w:rsidR="00332053">
        <w:t>id-</w:t>
      </w:r>
      <w:r w:rsidR="00931BCF">
        <w:t>U</w:t>
      </w:r>
      <w:r w:rsidR="00332053">
        <w:t xml:space="preserve">nit </w:t>
      </w:r>
      <w:r w:rsidR="00931BCF">
        <w:t>A</w:t>
      </w:r>
      <w:r w:rsidR="00332053">
        <w:t>ssessment prompt:</w:t>
      </w:r>
      <w:r w:rsidR="003C0F73">
        <w:t xml:space="preserve"> </w:t>
      </w:r>
      <w:r w:rsidR="00A765A2" w:rsidRPr="00527D1C">
        <w:rPr>
          <w:rStyle w:val="QChar"/>
          <w:rFonts w:eastAsia="Calibri"/>
        </w:rPr>
        <w:t>Who bears the most responsibility for ensuring that clothes are ethically manufactured?</w:t>
      </w:r>
      <w:r w:rsidR="00A765A2" w:rsidRPr="00A765A2">
        <w:rPr>
          <w:b/>
        </w:rPr>
        <w:t xml:space="preserve"> </w:t>
      </w:r>
      <w:r w:rsidR="000F58E1" w:rsidRPr="00745BC2">
        <w:rPr>
          <w:rStyle w:val="QChar"/>
          <w:rFonts w:eastAsia="Calibri"/>
          <w:b w:val="0"/>
        </w:rPr>
        <w:t>Additionally,</w:t>
      </w:r>
      <w:r w:rsidR="000F58E1">
        <w:rPr>
          <w:rStyle w:val="QChar"/>
          <w:rFonts w:eastAsia="Calibri"/>
        </w:rPr>
        <w:t xml:space="preserve"> </w:t>
      </w:r>
      <w:r w:rsidR="00400318">
        <w:t>instruct students to</w:t>
      </w:r>
      <w:r w:rsidR="000F58E1">
        <w:t xml:space="preserve"> </w:t>
      </w:r>
      <w:r w:rsidR="000F58E1" w:rsidRPr="003C0F73">
        <w:rPr>
          <w:rStyle w:val="QChar"/>
          <w:rFonts w:eastAsia="Calibri"/>
          <w:b w:val="0"/>
        </w:rPr>
        <w:t>review</w:t>
      </w:r>
      <w:r w:rsidR="00F4490B">
        <w:rPr>
          <w:rStyle w:val="QChar"/>
          <w:rFonts w:eastAsia="Calibri"/>
          <w:b w:val="0"/>
        </w:rPr>
        <w:t xml:space="preserve"> the articles and Evalua</w:t>
      </w:r>
      <w:r w:rsidR="00F30304">
        <w:rPr>
          <w:rStyle w:val="QChar"/>
          <w:rFonts w:eastAsia="Calibri"/>
          <w:b w:val="0"/>
        </w:rPr>
        <w:t xml:space="preserve">ting Argument and Evidence Tool </w:t>
      </w:r>
      <w:r w:rsidR="00F30304">
        <w:t>and Assessment</w:t>
      </w:r>
      <w:r w:rsidR="00F4490B">
        <w:rPr>
          <w:rStyle w:val="QChar"/>
          <w:rFonts w:eastAsia="Calibri"/>
          <w:b w:val="0"/>
        </w:rPr>
        <w:t xml:space="preserve"> that they completed for the supplementary texts:</w:t>
      </w:r>
      <w:r w:rsidR="000F58E1" w:rsidRPr="003C0F73">
        <w:rPr>
          <w:rStyle w:val="QChar"/>
          <w:rFonts w:eastAsia="Calibri"/>
          <w:b w:val="0"/>
        </w:rPr>
        <w:t xml:space="preserve"> “Globalization,” “Your Addiction to Fast Fashion Kills” and “</w:t>
      </w:r>
      <w:r w:rsidR="00F4490B">
        <w:rPr>
          <w:rStyle w:val="QChar"/>
          <w:rFonts w:eastAsia="Calibri"/>
          <w:b w:val="0"/>
        </w:rPr>
        <w:t xml:space="preserve">Bangladesh Factory Collapse: </w:t>
      </w:r>
      <w:r w:rsidR="000F58E1" w:rsidRPr="003C0F73">
        <w:rPr>
          <w:rStyle w:val="QChar"/>
          <w:rFonts w:eastAsia="Calibri"/>
          <w:b w:val="0"/>
        </w:rPr>
        <w:t>Who Re</w:t>
      </w:r>
      <w:r w:rsidR="000F58E1">
        <w:rPr>
          <w:rStyle w:val="QChar"/>
          <w:rFonts w:eastAsia="Calibri"/>
          <w:b w:val="0"/>
        </w:rPr>
        <w:t>ally Pays for our Cheap Clothes</w:t>
      </w:r>
      <w:r w:rsidR="00931BCF">
        <w:rPr>
          <w:rStyle w:val="QChar"/>
          <w:rFonts w:eastAsia="Calibri"/>
          <w:b w:val="0"/>
        </w:rPr>
        <w:t>?</w:t>
      </w:r>
      <w:r w:rsidR="000F58E1" w:rsidRPr="003C0F73">
        <w:rPr>
          <w:rStyle w:val="QChar"/>
          <w:rFonts w:eastAsia="Calibri"/>
          <w:b w:val="0"/>
        </w:rPr>
        <w:t>”</w:t>
      </w:r>
      <w:r w:rsidR="000F58E1">
        <w:rPr>
          <w:rStyle w:val="QChar"/>
          <w:rFonts w:eastAsia="Calibri"/>
          <w:b w:val="0"/>
        </w:rPr>
        <w:t xml:space="preserve"> and begin to collect evidence that supports th</w:t>
      </w:r>
      <w:r w:rsidR="00F4490B">
        <w:rPr>
          <w:rStyle w:val="QChar"/>
          <w:rFonts w:eastAsia="Calibri"/>
          <w:b w:val="0"/>
        </w:rPr>
        <w:t>eir</w:t>
      </w:r>
      <w:r w:rsidR="000F58E1">
        <w:rPr>
          <w:rStyle w:val="QChar"/>
          <w:rFonts w:eastAsia="Calibri"/>
          <w:b w:val="0"/>
        </w:rPr>
        <w:t xml:space="preserve"> claim.</w:t>
      </w:r>
      <w:r w:rsidR="003A2ACD">
        <w:rPr>
          <w:rStyle w:val="QChar"/>
          <w:rFonts w:eastAsia="Calibri"/>
          <w:b w:val="0"/>
        </w:rPr>
        <w:t xml:space="preserve"> </w:t>
      </w:r>
      <w:r w:rsidR="003A2ACD" w:rsidRPr="003A2ACD">
        <w:rPr>
          <w:rStyle w:val="QChar"/>
          <w:rFonts w:eastAsia="Calibri"/>
          <w:b w:val="0"/>
        </w:rPr>
        <w:t>Ask students to use vocabulary</w:t>
      </w:r>
      <w:r w:rsidR="003A2ACD">
        <w:rPr>
          <w:rStyle w:val="QChar"/>
          <w:rFonts w:eastAsia="Calibri"/>
          <w:b w:val="0"/>
        </w:rPr>
        <w:t xml:space="preserve"> from their reading</w:t>
      </w:r>
      <w:r w:rsidR="003A2ACD" w:rsidRPr="003A2ACD">
        <w:rPr>
          <w:rStyle w:val="QChar"/>
          <w:rFonts w:eastAsia="Calibri"/>
          <w:b w:val="0"/>
        </w:rPr>
        <w:t xml:space="preserve"> wherever possible in their written responses.</w:t>
      </w:r>
    </w:p>
    <w:p w:rsidR="00A861D9" w:rsidRDefault="00A861D9" w:rsidP="00A861D9">
      <w:pPr>
        <w:pStyle w:val="SA"/>
      </w:pPr>
      <w:r>
        <w:t>Students follow along.</w:t>
      </w:r>
    </w:p>
    <w:p w:rsidR="00A211EF" w:rsidRDefault="00400318" w:rsidP="00A211EF">
      <w:pPr>
        <w:pStyle w:val="IN"/>
      </w:pPr>
      <w:r w:rsidRPr="00A47C04">
        <w:rPr>
          <w:b/>
        </w:rPr>
        <w:t>Differentiation Consideration:</w:t>
      </w:r>
      <w:r>
        <w:t xml:space="preserve"> </w:t>
      </w:r>
      <w:r w:rsidR="00A47C04">
        <w:t xml:space="preserve">Consider providing students with the </w:t>
      </w:r>
      <w:r w:rsidR="00A211EF">
        <w:t>Forming Evidence</w:t>
      </w:r>
      <w:r w:rsidR="00556497">
        <w:t>-</w:t>
      </w:r>
      <w:r w:rsidR="00A211EF">
        <w:t xml:space="preserve">Based Claims Tool </w:t>
      </w:r>
      <w:r w:rsidR="000F58E1">
        <w:t>to structure this homework assignment.</w:t>
      </w:r>
    </w:p>
    <w:p w:rsidR="00A47C04" w:rsidRDefault="00A47C04" w:rsidP="00A211EF">
      <w:pPr>
        <w:pStyle w:val="IN"/>
      </w:pPr>
      <w:r>
        <w:t>Students have experience drafting claims from their work in earlier modules.</w:t>
      </w:r>
    </w:p>
    <w:p w:rsidR="00AC0973" w:rsidRPr="00A861D9" w:rsidRDefault="00F4490B" w:rsidP="00A211EF">
      <w:pPr>
        <w:pStyle w:val="IN"/>
      </w:pPr>
      <w:r>
        <w:t xml:space="preserve">Consider reviewing the definition of </w:t>
      </w:r>
      <w:r w:rsidR="00ED6CFC" w:rsidRPr="003C76A2">
        <w:rPr>
          <w:i/>
        </w:rPr>
        <w:t>ethica</w:t>
      </w:r>
      <w:r w:rsidR="0028104F">
        <w:rPr>
          <w:i/>
        </w:rPr>
        <w:t>l</w:t>
      </w:r>
      <w:r w:rsidR="00AC0973">
        <w:t xml:space="preserve"> introduced in 9.4</w:t>
      </w:r>
      <w:r w:rsidR="0001198F">
        <w:t>.1</w:t>
      </w:r>
      <w:r w:rsidR="00AC0973">
        <w:t xml:space="preserve"> Lesson 4</w:t>
      </w:r>
      <w:r w:rsidR="00BD1887">
        <w:t>. “Ethically manufactured” means</w:t>
      </w:r>
      <w:r w:rsidR="00AC0973">
        <w:t xml:space="preserve"> </w:t>
      </w:r>
      <w:r w:rsidR="00AC0973" w:rsidRPr="00081CE0">
        <w:t>products</w:t>
      </w:r>
      <w:r>
        <w:t xml:space="preserve"> (in this case, clothing) that have</w:t>
      </w:r>
      <w:r w:rsidR="00AC0973" w:rsidRPr="00081CE0">
        <w:t xml:space="preserve"> been manufactured in safe conditions where the workers are paid a fair wage.</w:t>
      </w:r>
      <w:r>
        <w:t xml:space="preserve"> Students may decide to take a position on this issue that aligns with the argument of one of the supplementary texts they have read (e.g. businesses are responsible to create safer environments and pay better wages; government is responsible to change policies to encourage ethical manufacturing; consumers are responsible to seek out and demand ethically manufactured clothing).</w:t>
      </w:r>
    </w:p>
    <w:p w:rsidR="00C4787C" w:rsidRDefault="00C4787C" w:rsidP="00E946A0">
      <w:pPr>
        <w:pStyle w:val="Heading1"/>
      </w:pPr>
      <w:r>
        <w:t>Homework</w:t>
      </w:r>
    </w:p>
    <w:p w:rsidR="00CC6AD0" w:rsidRDefault="000F58E1" w:rsidP="00527D1C">
      <w:pPr>
        <w:rPr>
          <w:rStyle w:val="QChar"/>
          <w:rFonts w:eastAsia="Calibri"/>
          <w:b w:val="0"/>
        </w:rPr>
      </w:pPr>
      <w:r>
        <w:rPr>
          <w:rStyle w:val="QChar"/>
          <w:rFonts w:eastAsia="Calibri"/>
          <w:b w:val="0"/>
        </w:rPr>
        <w:t xml:space="preserve">Draft a claim in response to the </w:t>
      </w:r>
      <w:r w:rsidR="00556497">
        <w:rPr>
          <w:rStyle w:val="QChar"/>
          <w:rFonts w:eastAsia="Calibri"/>
          <w:b w:val="0"/>
        </w:rPr>
        <w:t>M</w:t>
      </w:r>
      <w:r>
        <w:rPr>
          <w:rStyle w:val="QChar"/>
          <w:rFonts w:eastAsia="Calibri"/>
          <w:b w:val="0"/>
        </w:rPr>
        <w:t>id-</w:t>
      </w:r>
      <w:r w:rsidR="00556497">
        <w:rPr>
          <w:rStyle w:val="QChar"/>
          <w:rFonts w:eastAsia="Calibri"/>
          <w:b w:val="0"/>
        </w:rPr>
        <w:t>U</w:t>
      </w:r>
      <w:r>
        <w:rPr>
          <w:rStyle w:val="QChar"/>
          <w:rFonts w:eastAsia="Calibri"/>
          <w:b w:val="0"/>
        </w:rPr>
        <w:t xml:space="preserve">nit </w:t>
      </w:r>
      <w:r w:rsidR="00556497">
        <w:rPr>
          <w:rStyle w:val="QChar"/>
          <w:rFonts w:eastAsia="Calibri"/>
          <w:b w:val="0"/>
        </w:rPr>
        <w:t>A</w:t>
      </w:r>
      <w:r>
        <w:rPr>
          <w:rStyle w:val="QChar"/>
          <w:rFonts w:eastAsia="Calibri"/>
          <w:b w:val="0"/>
        </w:rPr>
        <w:t>ssessment prompt:</w:t>
      </w:r>
    </w:p>
    <w:p w:rsidR="000F58E1" w:rsidRPr="006E7D3C" w:rsidRDefault="00A765A2" w:rsidP="00527D1C">
      <w:r w:rsidRPr="00527D1C">
        <w:rPr>
          <w:rStyle w:val="QChar"/>
          <w:rFonts w:eastAsia="Calibri"/>
        </w:rPr>
        <w:t xml:space="preserve">Who bears the most responsibility for ensuring that clothes are ethically manufactured? </w:t>
      </w:r>
    </w:p>
    <w:p w:rsidR="006E7D3C" w:rsidRDefault="003C0F73" w:rsidP="00E946A0">
      <w:pPr>
        <w:rPr>
          <w:rStyle w:val="QChar"/>
          <w:rFonts w:eastAsia="Calibri"/>
          <w:b w:val="0"/>
        </w:rPr>
      </w:pPr>
      <w:r>
        <w:rPr>
          <w:rStyle w:val="QChar"/>
          <w:rFonts w:eastAsia="Calibri"/>
          <w:b w:val="0"/>
        </w:rPr>
        <w:t>R</w:t>
      </w:r>
      <w:r w:rsidRPr="003C0F73">
        <w:rPr>
          <w:rStyle w:val="QChar"/>
          <w:rFonts w:eastAsia="Calibri"/>
          <w:b w:val="0"/>
        </w:rPr>
        <w:t>eview “Globalization,” “</w:t>
      </w:r>
      <w:proofErr w:type="gramStart"/>
      <w:r w:rsidRPr="003C0F73">
        <w:rPr>
          <w:rStyle w:val="QChar"/>
          <w:rFonts w:eastAsia="Calibri"/>
          <w:b w:val="0"/>
        </w:rPr>
        <w:t>Your</w:t>
      </w:r>
      <w:proofErr w:type="gramEnd"/>
      <w:r w:rsidRPr="003C0F73">
        <w:rPr>
          <w:rStyle w:val="QChar"/>
          <w:rFonts w:eastAsia="Calibri"/>
          <w:b w:val="0"/>
        </w:rPr>
        <w:t xml:space="preserve"> Addiction to Fast Fashion Kills</w:t>
      </w:r>
      <w:r w:rsidR="00CC6AD0">
        <w:rPr>
          <w:rStyle w:val="QChar"/>
          <w:rFonts w:eastAsia="Calibri"/>
          <w:b w:val="0"/>
        </w:rPr>
        <w:t>,</w:t>
      </w:r>
      <w:r w:rsidRPr="003C0F73">
        <w:rPr>
          <w:rStyle w:val="QChar"/>
          <w:rFonts w:eastAsia="Calibri"/>
          <w:b w:val="0"/>
        </w:rPr>
        <w:t>” and “Who Re</w:t>
      </w:r>
      <w:r w:rsidR="000F58E1">
        <w:rPr>
          <w:rStyle w:val="QChar"/>
          <w:rFonts w:eastAsia="Calibri"/>
          <w:b w:val="0"/>
        </w:rPr>
        <w:t>ally Pays for our Cheap Clothes</w:t>
      </w:r>
      <w:r w:rsidR="00556497">
        <w:rPr>
          <w:rStyle w:val="QChar"/>
          <w:rFonts w:eastAsia="Calibri"/>
          <w:b w:val="0"/>
        </w:rPr>
        <w:t>?</w:t>
      </w:r>
      <w:r w:rsidRPr="003C0F73">
        <w:rPr>
          <w:rStyle w:val="QChar"/>
          <w:rFonts w:eastAsia="Calibri"/>
          <w:b w:val="0"/>
        </w:rPr>
        <w:t>”</w:t>
      </w:r>
      <w:r w:rsidR="000F58E1">
        <w:rPr>
          <w:rStyle w:val="QChar"/>
          <w:rFonts w:eastAsia="Calibri"/>
          <w:b w:val="0"/>
        </w:rPr>
        <w:t xml:space="preserve"> and begin to collect evidence that supports </w:t>
      </w:r>
      <w:r w:rsidR="00F4490B">
        <w:rPr>
          <w:rStyle w:val="QChar"/>
          <w:rFonts w:eastAsia="Calibri"/>
          <w:b w:val="0"/>
        </w:rPr>
        <w:t xml:space="preserve">your </w:t>
      </w:r>
      <w:r w:rsidR="000F58E1">
        <w:rPr>
          <w:rStyle w:val="QChar"/>
          <w:rFonts w:eastAsia="Calibri"/>
          <w:b w:val="0"/>
        </w:rPr>
        <w:t>claim.</w:t>
      </w:r>
    </w:p>
    <w:p w:rsidR="00BD2C01" w:rsidRPr="00C162DD" w:rsidRDefault="005837C5" w:rsidP="003F2D86">
      <w:pPr>
        <w:pStyle w:val="ToolHeader"/>
      </w:pPr>
      <w:r>
        <w:rPr>
          <w:i/>
        </w:rPr>
        <w:br w:type="page"/>
      </w:r>
    </w:p>
    <w:p w:rsidR="00687AE0" w:rsidRDefault="00687AE0" w:rsidP="003C2E66">
      <w:pPr>
        <w:pStyle w:val="ToolHeader"/>
      </w:pPr>
      <w:r>
        <w:t>Model Evaluating Argument and Evidence Tool</w:t>
      </w:r>
      <w:r w:rsidR="00FD7D29">
        <w:t xml:space="preserve"> </w:t>
      </w:r>
    </w:p>
    <w:tbl>
      <w:tblPr>
        <w:tblStyle w:val="TableGrid"/>
        <w:tblW w:w="5000" w:type="pct"/>
        <w:tblInd w:w="115" w:type="dxa"/>
        <w:tblLook w:val="04A0"/>
      </w:tblPr>
      <w:tblGrid>
        <w:gridCol w:w="1007"/>
        <w:gridCol w:w="1269"/>
        <w:gridCol w:w="607"/>
        <w:gridCol w:w="892"/>
        <w:gridCol w:w="2391"/>
        <w:gridCol w:w="867"/>
        <w:gridCol w:w="2543"/>
      </w:tblGrid>
      <w:tr w:rsidR="00687AE0" w:rsidRPr="00707670" w:rsidTr="003C2E66">
        <w:trPr>
          <w:trHeight w:val="628"/>
        </w:trPr>
        <w:tc>
          <w:tcPr>
            <w:tcW w:w="1035" w:type="dxa"/>
            <w:tcBorders>
              <w:bottom w:val="single" w:sz="4" w:space="0" w:color="auto"/>
            </w:tcBorders>
            <w:shd w:val="clear" w:color="auto" w:fill="D9D9D9" w:themeFill="background1" w:themeFillShade="D9"/>
            <w:vAlign w:val="center"/>
          </w:tcPr>
          <w:p w:rsidR="00687AE0" w:rsidRPr="00707670" w:rsidRDefault="00687AE0" w:rsidP="00106AA0">
            <w:pPr>
              <w:pStyle w:val="TableText"/>
              <w:rPr>
                <w:b/>
              </w:rPr>
            </w:pPr>
            <w:r w:rsidRPr="00707670">
              <w:rPr>
                <w:b/>
              </w:rPr>
              <w:t>Name:</w:t>
            </w:r>
          </w:p>
        </w:tc>
        <w:tc>
          <w:tcPr>
            <w:tcW w:w="2190" w:type="dxa"/>
            <w:gridSpan w:val="2"/>
            <w:tcBorders>
              <w:bottom w:val="single" w:sz="4" w:space="0" w:color="auto"/>
            </w:tcBorders>
            <w:vAlign w:val="center"/>
          </w:tcPr>
          <w:p w:rsidR="00687AE0" w:rsidRPr="00707670" w:rsidRDefault="00687AE0" w:rsidP="00106AA0">
            <w:pPr>
              <w:pStyle w:val="TableText"/>
              <w:rPr>
                <w:b/>
              </w:rPr>
            </w:pPr>
          </w:p>
        </w:tc>
        <w:tc>
          <w:tcPr>
            <w:tcW w:w="923" w:type="dxa"/>
            <w:tcBorders>
              <w:bottom w:val="single" w:sz="4" w:space="0" w:color="auto"/>
            </w:tcBorders>
            <w:shd w:val="clear" w:color="auto" w:fill="D9D9D9" w:themeFill="background1" w:themeFillShade="D9"/>
            <w:vAlign w:val="center"/>
          </w:tcPr>
          <w:p w:rsidR="00687AE0" w:rsidRPr="00707670" w:rsidRDefault="00687AE0" w:rsidP="00106AA0">
            <w:pPr>
              <w:pStyle w:val="TableText"/>
              <w:rPr>
                <w:b/>
              </w:rPr>
            </w:pPr>
            <w:r w:rsidRPr="00707670">
              <w:rPr>
                <w:b/>
              </w:rPr>
              <w:t>Class:</w:t>
            </w:r>
          </w:p>
        </w:tc>
        <w:tc>
          <w:tcPr>
            <w:tcW w:w="2807" w:type="dxa"/>
            <w:tcBorders>
              <w:bottom w:val="single" w:sz="4" w:space="0" w:color="auto"/>
            </w:tcBorders>
            <w:vAlign w:val="center"/>
          </w:tcPr>
          <w:p w:rsidR="00687AE0" w:rsidRPr="00707670" w:rsidRDefault="00687AE0" w:rsidP="00106AA0">
            <w:pPr>
              <w:pStyle w:val="TableText"/>
              <w:rPr>
                <w:b/>
              </w:rPr>
            </w:pPr>
          </w:p>
        </w:tc>
        <w:tc>
          <w:tcPr>
            <w:tcW w:w="897" w:type="dxa"/>
            <w:tcBorders>
              <w:bottom w:val="single" w:sz="4" w:space="0" w:color="auto"/>
            </w:tcBorders>
            <w:shd w:val="clear" w:color="auto" w:fill="D9D9D9" w:themeFill="background1" w:themeFillShade="D9"/>
            <w:vAlign w:val="center"/>
          </w:tcPr>
          <w:p w:rsidR="00687AE0" w:rsidRPr="00707670" w:rsidRDefault="00687AE0" w:rsidP="00106AA0">
            <w:pPr>
              <w:pStyle w:val="TableText"/>
              <w:rPr>
                <w:b/>
              </w:rPr>
            </w:pPr>
            <w:r w:rsidRPr="00707670">
              <w:rPr>
                <w:b/>
              </w:rPr>
              <w:t>Date:</w:t>
            </w:r>
          </w:p>
        </w:tc>
        <w:tc>
          <w:tcPr>
            <w:tcW w:w="2986" w:type="dxa"/>
            <w:tcBorders>
              <w:bottom w:val="single" w:sz="4" w:space="0" w:color="auto"/>
            </w:tcBorders>
            <w:vAlign w:val="center"/>
          </w:tcPr>
          <w:p w:rsidR="00687AE0" w:rsidRPr="00707670" w:rsidRDefault="00687AE0" w:rsidP="00106AA0">
            <w:pPr>
              <w:pStyle w:val="TableText"/>
              <w:rPr>
                <w:b/>
              </w:rPr>
            </w:pPr>
          </w:p>
        </w:tc>
      </w:tr>
      <w:tr w:rsidR="00687AE0" w:rsidRPr="00707670" w:rsidTr="003C2E66">
        <w:trPr>
          <w:trHeight w:val="186"/>
        </w:trPr>
        <w:tc>
          <w:tcPr>
            <w:tcW w:w="10840" w:type="dxa"/>
            <w:gridSpan w:val="7"/>
            <w:tcBorders>
              <w:left w:val="nil"/>
              <w:right w:val="nil"/>
            </w:tcBorders>
            <w:shd w:val="clear" w:color="auto" w:fill="auto"/>
            <w:vAlign w:val="center"/>
          </w:tcPr>
          <w:p w:rsidR="00687AE0" w:rsidRPr="00C87E4A" w:rsidRDefault="00687AE0" w:rsidP="00106AA0">
            <w:pPr>
              <w:pStyle w:val="TableText"/>
              <w:rPr>
                <w:b/>
                <w:sz w:val="14"/>
                <w:szCs w:val="14"/>
              </w:rPr>
            </w:pPr>
          </w:p>
        </w:tc>
      </w:tr>
      <w:tr w:rsidR="00687AE0" w:rsidRPr="00707670" w:rsidTr="003C2E66">
        <w:trPr>
          <w:trHeight w:val="628"/>
        </w:trPr>
        <w:tc>
          <w:tcPr>
            <w:tcW w:w="2511" w:type="dxa"/>
            <w:gridSpan w:val="2"/>
            <w:shd w:val="clear" w:color="auto" w:fill="D9D9D9" w:themeFill="background1" w:themeFillShade="D9"/>
            <w:vAlign w:val="center"/>
          </w:tcPr>
          <w:p w:rsidR="00687AE0" w:rsidRPr="000A134E" w:rsidRDefault="00687AE0" w:rsidP="000A134E">
            <w:pPr>
              <w:pStyle w:val="ToolTableText"/>
              <w:rPr>
                <w:b/>
              </w:rPr>
            </w:pPr>
            <w:r w:rsidRPr="000A134E">
              <w:rPr>
                <w:b/>
              </w:rPr>
              <w:t>Question</w:t>
            </w:r>
          </w:p>
        </w:tc>
        <w:tc>
          <w:tcPr>
            <w:tcW w:w="8328" w:type="dxa"/>
            <w:gridSpan w:val="5"/>
            <w:shd w:val="clear" w:color="auto" w:fill="auto"/>
            <w:vAlign w:val="center"/>
          </w:tcPr>
          <w:p w:rsidR="00687AE0" w:rsidRPr="00707670" w:rsidRDefault="00A765A2" w:rsidP="000A134E">
            <w:pPr>
              <w:pStyle w:val="ToolTableText"/>
            </w:pPr>
            <w:r w:rsidRPr="00A765A2">
              <w:rPr>
                <w:rFonts w:asciiTheme="minorHAnsi" w:eastAsia="Times New Roman" w:hAnsiTheme="minorHAnsi"/>
              </w:rPr>
              <w:t xml:space="preserve">Who bears the most responsibility for ensuring that clothes are ethically manufactured? </w:t>
            </w:r>
          </w:p>
        </w:tc>
      </w:tr>
      <w:tr w:rsidR="00687AE0" w:rsidRPr="00707670" w:rsidTr="003C2E66">
        <w:trPr>
          <w:trHeight w:val="628"/>
        </w:trPr>
        <w:tc>
          <w:tcPr>
            <w:tcW w:w="2511" w:type="dxa"/>
            <w:gridSpan w:val="2"/>
            <w:shd w:val="clear" w:color="auto" w:fill="D9D9D9" w:themeFill="background1" w:themeFillShade="D9"/>
            <w:vAlign w:val="center"/>
          </w:tcPr>
          <w:p w:rsidR="00687AE0" w:rsidRPr="000A134E" w:rsidRDefault="00687AE0" w:rsidP="000A134E">
            <w:pPr>
              <w:pStyle w:val="ToolTableText"/>
              <w:rPr>
                <w:b/>
              </w:rPr>
            </w:pPr>
            <w:r w:rsidRPr="000A134E">
              <w:rPr>
                <w:b/>
              </w:rPr>
              <w:t>Text</w:t>
            </w:r>
          </w:p>
        </w:tc>
        <w:tc>
          <w:tcPr>
            <w:tcW w:w="8328" w:type="dxa"/>
            <w:gridSpan w:val="5"/>
            <w:shd w:val="clear" w:color="auto" w:fill="auto"/>
            <w:vAlign w:val="center"/>
          </w:tcPr>
          <w:p w:rsidR="00687AE0" w:rsidRPr="00707670" w:rsidRDefault="00687AE0" w:rsidP="000A134E">
            <w:pPr>
              <w:pStyle w:val="ToolTableText"/>
            </w:pPr>
            <w:r>
              <w:t>“Who Really Pays for our Cheap Clothes</w:t>
            </w:r>
            <w:r w:rsidR="00BD1887">
              <w:t>?</w:t>
            </w:r>
            <w:r>
              <w:t>” by Anna McMullen</w:t>
            </w:r>
          </w:p>
        </w:tc>
      </w:tr>
      <w:tr w:rsidR="00687AE0" w:rsidRPr="00707670" w:rsidTr="003C2E66">
        <w:trPr>
          <w:trHeight w:val="628"/>
        </w:trPr>
        <w:tc>
          <w:tcPr>
            <w:tcW w:w="2511" w:type="dxa"/>
            <w:gridSpan w:val="2"/>
            <w:shd w:val="clear" w:color="auto" w:fill="D9D9D9" w:themeFill="background1" w:themeFillShade="D9"/>
            <w:vAlign w:val="center"/>
          </w:tcPr>
          <w:p w:rsidR="00687AE0" w:rsidRPr="000A134E" w:rsidRDefault="00687AE0" w:rsidP="000A134E">
            <w:pPr>
              <w:pStyle w:val="ToolTableText"/>
              <w:rPr>
                <w:rFonts w:eastAsia="Verdana" w:cs="Calibri"/>
                <w:b/>
                <w:color w:val="595959"/>
              </w:rPr>
            </w:pPr>
            <w:r w:rsidRPr="000A134E">
              <w:rPr>
                <w:b/>
              </w:rPr>
              <w:t xml:space="preserve">Author’s Point of View </w:t>
            </w:r>
            <w:r w:rsidR="00F42AE4" w:rsidRPr="000A134E">
              <w:rPr>
                <w:b/>
              </w:rPr>
              <w:t xml:space="preserve">or </w:t>
            </w:r>
            <w:r w:rsidRPr="000A134E">
              <w:rPr>
                <w:b/>
              </w:rPr>
              <w:t>Purpose</w:t>
            </w:r>
          </w:p>
        </w:tc>
        <w:tc>
          <w:tcPr>
            <w:tcW w:w="8328" w:type="dxa"/>
            <w:gridSpan w:val="5"/>
            <w:shd w:val="clear" w:color="auto" w:fill="auto"/>
            <w:vAlign w:val="center"/>
          </w:tcPr>
          <w:p w:rsidR="00687AE0" w:rsidRPr="00707670" w:rsidRDefault="00687AE0" w:rsidP="000A134E">
            <w:pPr>
              <w:pStyle w:val="ToolTableText"/>
            </w:pPr>
            <w:r w:rsidRPr="009F59AB">
              <w:t>The writer is a campaigner for garment factory reform and higher wages for garment workers.</w:t>
            </w:r>
            <w:r>
              <w:t xml:space="preserve"> </w:t>
            </w:r>
          </w:p>
        </w:tc>
      </w:tr>
      <w:tr w:rsidR="00BD2C01" w:rsidRPr="00707670" w:rsidTr="003C2E66">
        <w:trPr>
          <w:trHeight w:val="628"/>
        </w:trPr>
        <w:tc>
          <w:tcPr>
            <w:tcW w:w="2511" w:type="dxa"/>
            <w:gridSpan w:val="2"/>
            <w:tcBorders>
              <w:bottom w:val="single" w:sz="4" w:space="0" w:color="auto"/>
            </w:tcBorders>
            <w:shd w:val="clear" w:color="auto" w:fill="D9D9D9" w:themeFill="background1" w:themeFillShade="D9"/>
            <w:vAlign w:val="center"/>
          </w:tcPr>
          <w:p w:rsidR="00BD2C01" w:rsidRPr="000A134E" w:rsidRDefault="00BD2C01" w:rsidP="000A134E">
            <w:pPr>
              <w:pStyle w:val="ToolTableText"/>
              <w:rPr>
                <w:b/>
              </w:rPr>
            </w:pPr>
            <w:r w:rsidRPr="000A134E">
              <w:rPr>
                <w:b/>
              </w:rPr>
              <w:t>Central Claim</w:t>
            </w:r>
          </w:p>
        </w:tc>
        <w:tc>
          <w:tcPr>
            <w:tcW w:w="8328" w:type="dxa"/>
            <w:gridSpan w:val="5"/>
            <w:tcBorders>
              <w:bottom w:val="single" w:sz="4" w:space="0" w:color="auto"/>
            </w:tcBorders>
            <w:shd w:val="clear" w:color="auto" w:fill="auto"/>
            <w:vAlign w:val="center"/>
          </w:tcPr>
          <w:p w:rsidR="00BD2C01" w:rsidRPr="009F59AB" w:rsidRDefault="00BD2C01" w:rsidP="000A134E">
            <w:pPr>
              <w:pStyle w:val="ToolTableText"/>
            </w:pPr>
            <w:r>
              <w:t>Businesses bear the most responsibility for ethically manufactured clothes.</w:t>
            </w:r>
          </w:p>
        </w:tc>
      </w:tr>
    </w:tbl>
    <w:p w:rsidR="00687AE0" w:rsidRDefault="00687AE0" w:rsidP="000A134E">
      <w:pPr>
        <w:pStyle w:val="ToolTableText"/>
        <w:rPr>
          <w:sz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261"/>
        <w:gridCol w:w="2305"/>
        <w:gridCol w:w="261"/>
        <w:gridCol w:w="2078"/>
        <w:gridCol w:w="261"/>
        <w:gridCol w:w="2146"/>
      </w:tblGrid>
      <w:tr w:rsidR="00117BFA" w:rsidTr="00FD3B84">
        <w:trPr>
          <w:trHeight w:val="432"/>
          <w:tblHeader/>
        </w:trPr>
        <w:tc>
          <w:tcPr>
            <w:tcW w:w="2264" w:type="dxa"/>
            <w:shd w:val="clear" w:color="auto" w:fill="D9D9D9" w:themeFill="background1" w:themeFillShade="D9"/>
            <w:vAlign w:val="center"/>
          </w:tcPr>
          <w:p w:rsidR="00117BFA" w:rsidRPr="000A134E" w:rsidRDefault="00117BFA" w:rsidP="003C2E66">
            <w:pPr>
              <w:pStyle w:val="ToolTableText"/>
              <w:spacing w:before="0" w:after="0"/>
              <w:rPr>
                <w:b/>
              </w:rPr>
            </w:pPr>
            <w:r w:rsidRPr="000A134E">
              <w:rPr>
                <w:b/>
              </w:rPr>
              <w:br w:type="page"/>
              <w:t>Supporting Claim</w:t>
            </w:r>
          </w:p>
        </w:tc>
        <w:tc>
          <w:tcPr>
            <w:tcW w:w="261" w:type="dxa"/>
            <w:vMerge w:val="restart"/>
            <w:tcBorders>
              <w:top w:val="nil"/>
            </w:tcBorders>
            <w:vAlign w:val="center"/>
          </w:tcPr>
          <w:p w:rsidR="00117BFA" w:rsidRPr="000A134E" w:rsidRDefault="00117BFA" w:rsidP="003C2E66">
            <w:pPr>
              <w:pStyle w:val="ToolTableText"/>
              <w:spacing w:before="0" w:after="0"/>
              <w:rPr>
                <w:b/>
              </w:rPr>
            </w:pPr>
          </w:p>
        </w:tc>
        <w:tc>
          <w:tcPr>
            <w:tcW w:w="2305" w:type="dxa"/>
            <w:shd w:val="clear" w:color="auto" w:fill="D9D9D9" w:themeFill="background1" w:themeFillShade="D9"/>
            <w:vAlign w:val="center"/>
          </w:tcPr>
          <w:p w:rsidR="00117BFA" w:rsidRPr="000A134E" w:rsidRDefault="00117BFA" w:rsidP="003C2E66">
            <w:pPr>
              <w:pStyle w:val="ToolTableText"/>
              <w:spacing w:before="0" w:after="0"/>
              <w:rPr>
                <w:b/>
              </w:rPr>
            </w:pPr>
            <w:r w:rsidRPr="000A134E">
              <w:rPr>
                <w:b/>
              </w:rPr>
              <w:br w:type="page"/>
              <w:t>Supporting Claim</w:t>
            </w:r>
          </w:p>
        </w:tc>
        <w:tc>
          <w:tcPr>
            <w:tcW w:w="261" w:type="dxa"/>
            <w:vMerge w:val="restart"/>
            <w:tcBorders>
              <w:top w:val="nil"/>
            </w:tcBorders>
            <w:vAlign w:val="center"/>
          </w:tcPr>
          <w:p w:rsidR="00117BFA" w:rsidRPr="000A134E" w:rsidRDefault="00117BFA" w:rsidP="003C2E66">
            <w:pPr>
              <w:pStyle w:val="ToolTableText"/>
              <w:spacing w:before="0" w:after="0"/>
              <w:rPr>
                <w:b/>
              </w:rPr>
            </w:pPr>
          </w:p>
        </w:tc>
        <w:tc>
          <w:tcPr>
            <w:tcW w:w="2078" w:type="dxa"/>
            <w:shd w:val="clear" w:color="auto" w:fill="D9D9D9" w:themeFill="background1" w:themeFillShade="D9"/>
            <w:vAlign w:val="center"/>
          </w:tcPr>
          <w:p w:rsidR="00117BFA" w:rsidRPr="000A134E" w:rsidRDefault="00117BFA" w:rsidP="003C2E66">
            <w:pPr>
              <w:pStyle w:val="ToolTableText"/>
              <w:spacing w:before="0" w:after="0"/>
              <w:rPr>
                <w:b/>
              </w:rPr>
            </w:pPr>
            <w:r w:rsidRPr="000A134E">
              <w:rPr>
                <w:b/>
              </w:rPr>
              <w:br w:type="page"/>
              <w:t>Supporting Claim</w:t>
            </w:r>
          </w:p>
        </w:tc>
        <w:tc>
          <w:tcPr>
            <w:tcW w:w="261" w:type="dxa"/>
            <w:vMerge w:val="restart"/>
            <w:tcBorders>
              <w:top w:val="nil"/>
            </w:tcBorders>
            <w:vAlign w:val="center"/>
          </w:tcPr>
          <w:p w:rsidR="00117BFA" w:rsidRPr="000A134E" w:rsidRDefault="00117BFA" w:rsidP="003C2E66">
            <w:pPr>
              <w:pStyle w:val="ToolTableText"/>
              <w:spacing w:before="0" w:after="0"/>
              <w:rPr>
                <w:b/>
              </w:rPr>
            </w:pPr>
          </w:p>
        </w:tc>
        <w:tc>
          <w:tcPr>
            <w:tcW w:w="2146" w:type="dxa"/>
            <w:shd w:val="clear" w:color="auto" w:fill="D9D9D9" w:themeFill="background1" w:themeFillShade="D9"/>
            <w:vAlign w:val="center"/>
          </w:tcPr>
          <w:p w:rsidR="00117BFA" w:rsidRPr="000A134E" w:rsidRDefault="00117BFA" w:rsidP="003C2E66">
            <w:pPr>
              <w:pStyle w:val="ToolTableText"/>
              <w:spacing w:before="0" w:after="0"/>
              <w:rPr>
                <w:b/>
              </w:rPr>
            </w:pPr>
            <w:r w:rsidRPr="000A134E">
              <w:rPr>
                <w:b/>
              </w:rPr>
              <w:br w:type="page"/>
              <w:t>Counterclaim</w:t>
            </w:r>
          </w:p>
        </w:tc>
      </w:tr>
      <w:tr w:rsidR="00117BFA" w:rsidTr="00FD3B84">
        <w:trPr>
          <w:trHeight w:val="1698"/>
          <w:tblHeader/>
        </w:trPr>
        <w:tc>
          <w:tcPr>
            <w:tcW w:w="2264" w:type="dxa"/>
            <w:shd w:val="clear" w:color="auto" w:fill="auto"/>
          </w:tcPr>
          <w:p w:rsidR="00117BFA" w:rsidRPr="004607B5" w:rsidRDefault="00117BFA" w:rsidP="005064E9">
            <w:pPr>
              <w:pStyle w:val="ToolTableText"/>
            </w:pPr>
            <w:r w:rsidRPr="009F59AB">
              <w:t>Garment factories in Bangladesh are “further tragedies waiting to happen”</w:t>
            </w:r>
            <w:r w:rsidR="005064E9">
              <w:br/>
            </w:r>
            <w:r w:rsidRPr="009F59AB">
              <w:t>(</w:t>
            </w:r>
            <w:r w:rsidR="00F57091">
              <w:t xml:space="preserve">p. </w:t>
            </w:r>
            <w:r w:rsidRPr="009F59AB">
              <w:t>1)</w:t>
            </w:r>
          </w:p>
        </w:tc>
        <w:tc>
          <w:tcPr>
            <w:tcW w:w="261" w:type="dxa"/>
            <w:vMerge/>
            <w:shd w:val="clear" w:color="auto" w:fill="auto"/>
          </w:tcPr>
          <w:p w:rsidR="00117BFA" w:rsidRPr="004607B5" w:rsidRDefault="00117BFA" w:rsidP="003C2E66">
            <w:pPr>
              <w:pStyle w:val="ToolTableText"/>
            </w:pPr>
          </w:p>
        </w:tc>
        <w:tc>
          <w:tcPr>
            <w:tcW w:w="2305" w:type="dxa"/>
            <w:shd w:val="clear" w:color="auto" w:fill="auto"/>
          </w:tcPr>
          <w:p w:rsidR="00117BFA" w:rsidRPr="004607B5" w:rsidRDefault="00117BFA" w:rsidP="003C2E66">
            <w:pPr>
              <w:pStyle w:val="ToolTableText"/>
            </w:pPr>
            <w:r w:rsidRPr="009F59AB">
              <w:t>“The Bangladesh Building and Fire Safety Agreement”</w:t>
            </w:r>
            <w:r>
              <w:t xml:space="preserve"> </w:t>
            </w:r>
            <w:r w:rsidR="005064E9">
              <w:br/>
            </w:r>
            <w:r>
              <w:t>(</w:t>
            </w:r>
            <w:r w:rsidR="00F57091">
              <w:t xml:space="preserve">p. </w:t>
            </w:r>
            <w:r>
              <w:t>2)</w:t>
            </w:r>
            <w:r w:rsidRPr="009F59AB">
              <w:t xml:space="preserve"> is the </w:t>
            </w:r>
            <w:r>
              <w:t>“</w:t>
            </w:r>
            <w:r w:rsidRPr="009F59AB">
              <w:t>best</w:t>
            </w:r>
            <w:r>
              <w:t xml:space="preserve"> by far” (</w:t>
            </w:r>
            <w:r w:rsidR="00F57091">
              <w:t xml:space="preserve">p. </w:t>
            </w:r>
            <w:r>
              <w:t>3)</w:t>
            </w:r>
            <w:r w:rsidRPr="009F59AB">
              <w:t xml:space="preserve"> option for reform.</w:t>
            </w:r>
          </w:p>
        </w:tc>
        <w:tc>
          <w:tcPr>
            <w:tcW w:w="261" w:type="dxa"/>
            <w:vMerge/>
            <w:shd w:val="clear" w:color="auto" w:fill="auto"/>
          </w:tcPr>
          <w:p w:rsidR="00117BFA" w:rsidRPr="004607B5" w:rsidRDefault="00117BFA" w:rsidP="003C2E66">
            <w:pPr>
              <w:pStyle w:val="ToolTableText"/>
            </w:pPr>
          </w:p>
        </w:tc>
        <w:tc>
          <w:tcPr>
            <w:tcW w:w="2078" w:type="dxa"/>
            <w:shd w:val="clear" w:color="auto" w:fill="auto"/>
          </w:tcPr>
          <w:p w:rsidR="00117BFA" w:rsidRPr="007B0575" w:rsidRDefault="00117BFA" w:rsidP="003C2E66">
            <w:pPr>
              <w:pStyle w:val="ToolTableText"/>
            </w:pPr>
            <w:r w:rsidRPr="007B0575">
              <w:t>The things brands have in place are not good enough to make safe working conditions.</w:t>
            </w:r>
          </w:p>
        </w:tc>
        <w:tc>
          <w:tcPr>
            <w:tcW w:w="261" w:type="dxa"/>
            <w:vMerge/>
            <w:shd w:val="clear" w:color="auto" w:fill="auto"/>
          </w:tcPr>
          <w:p w:rsidR="00117BFA" w:rsidRPr="004607B5" w:rsidRDefault="00117BFA" w:rsidP="003C2E66">
            <w:pPr>
              <w:pStyle w:val="ToolTableText"/>
            </w:pPr>
          </w:p>
        </w:tc>
        <w:tc>
          <w:tcPr>
            <w:tcW w:w="2146" w:type="dxa"/>
            <w:shd w:val="clear" w:color="auto" w:fill="auto"/>
          </w:tcPr>
          <w:p w:rsidR="00117BFA" w:rsidRPr="004607B5" w:rsidRDefault="00117BFA" w:rsidP="003C2E66">
            <w:pPr>
              <w:pStyle w:val="ToolTableText"/>
            </w:pPr>
            <w:r>
              <w:t>Businesses already pay workers enough.</w:t>
            </w:r>
          </w:p>
        </w:tc>
      </w:tr>
      <w:tr w:rsidR="00117BFA" w:rsidTr="00FD3B84">
        <w:trPr>
          <w:trHeight w:val="2625"/>
          <w:tblHeader/>
        </w:trPr>
        <w:tc>
          <w:tcPr>
            <w:tcW w:w="2264" w:type="dxa"/>
            <w:shd w:val="clear" w:color="auto" w:fill="auto"/>
          </w:tcPr>
          <w:p w:rsidR="00117BFA" w:rsidRPr="000A134E" w:rsidRDefault="00117BFA" w:rsidP="003C2E66">
            <w:pPr>
              <w:pStyle w:val="ToolTableText"/>
              <w:rPr>
                <w:b/>
              </w:rPr>
            </w:pPr>
            <w:r w:rsidRPr="000A134E">
              <w:rPr>
                <w:b/>
              </w:rPr>
              <w:t>Evidence</w:t>
            </w:r>
          </w:p>
          <w:p w:rsidR="00117BFA" w:rsidRPr="003C0F73" w:rsidRDefault="00117BFA" w:rsidP="003C2E66">
            <w:pPr>
              <w:pStyle w:val="ToolTableText"/>
            </w:pPr>
            <w:r w:rsidRPr="003C0F73">
              <w:t>The factories are built on “swampland</w:t>
            </w:r>
            <w:r w:rsidR="00556497">
              <w:t>.</w:t>
            </w:r>
            <w:r w:rsidRPr="003C0F73">
              <w:t xml:space="preserve">” </w:t>
            </w:r>
            <w:r w:rsidR="005064E9">
              <w:br/>
            </w:r>
            <w:r w:rsidRPr="003C0F73">
              <w:t>(</w:t>
            </w:r>
            <w:r w:rsidR="00F57091">
              <w:t xml:space="preserve">p. </w:t>
            </w:r>
            <w:r w:rsidRPr="003C0F73">
              <w:t>1)</w:t>
            </w:r>
          </w:p>
          <w:p w:rsidR="00117BFA" w:rsidRPr="003C0F73" w:rsidRDefault="00117BFA" w:rsidP="003C2E66">
            <w:pPr>
              <w:pStyle w:val="ToolTableText"/>
            </w:pPr>
            <w:r w:rsidRPr="003C0F73">
              <w:t>“Seven hundred workers have died in factory collapses and fires in this very small region” (</w:t>
            </w:r>
            <w:r w:rsidR="00F57091">
              <w:t xml:space="preserve">p. </w:t>
            </w:r>
            <w:r w:rsidRPr="003C0F73">
              <w:t>1)</w:t>
            </w:r>
          </w:p>
          <w:p w:rsidR="00117BFA" w:rsidRPr="003C0F73" w:rsidRDefault="00117BFA" w:rsidP="003C2E66">
            <w:pPr>
              <w:pStyle w:val="ToolTableText"/>
            </w:pPr>
            <w:r w:rsidRPr="003C0F73">
              <w:t>“factory owners inevitably let things slide” (</w:t>
            </w:r>
            <w:r w:rsidR="00F57091">
              <w:t xml:space="preserve">p. </w:t>
            </w:r>
            <w:r w:rsidRPr="003C0F73">
              <w:t>1)</w:t>
            </w:r>
          </w:p>
        </w:tc>
        <w:tc>
          <w:tcPr>
            <w:tcW w:w="261" w:type="dxa"/>
            <w:vMerge/>
            <w:tcBorders>
              <w:bottom w:val="nil"/>
            </w:tcBorders>
            <w:shd w:val="clear" w:color="auto" w:fill="auto"/>
          </w:tcPr>
          <w:p w:rsidR="00117BFA" w:rsidRPr="004607B5" w:rsidRDefault="00117BFA" w:rsidP="003C2E66">
            <w:pPr>
              <w:pStyle w:val="ToolTableText"/>
            </w:pPr>
          </w:p>
        </w:tc>
        <w:tc>
          <w:tcPr>
            <w:tcW w:w="2305" w:type="dxa"/>
            <w:shd w:val="clear" w:color="auto" w:fill="auto"/>
          </w:tcPr>
          <w:p w:rsidR="00117BFA" w:rsidRPr="000A134E" w:rsidRDefault="00117BFA" w:rsidP="003C2E66">
            <w:pPr>
              <w:pStyle w:val="ToolTableText"/>
              <w:rPr>
                <w:b/>
              </w:rPr>
            </w:pPr>
            <w:r w:rsidRPr="000A134E">
              <w:rPr>
                <w:b/>
              </w:rPr>
              <w:t>Evidence</w:t>
            </w:r>
          </w:p>
          <w:p w:rsidR="00117BFA" w:rsidRPr="005B4EB3" w:rsidRDefault="00117BFA" w:rsidP="003217F5">
            <w:pPr>
              <w:pStyle w:val="ToolTableText"/>
            </w:pPr>
            <w:r w:rsidRPr="00F42AE4">
              <w:t>“supported by all key labor stakeholders in Bangladesh and internationally” (</w:t>
            </w:r>
            <w:r w:rsidR="00F57091">
              <w:t xml:space="preserve">p. </w:t>
            </w:r>
            <w:r w:rsidRPr="00F42AE4">
              <w:t>2)</w:t>
            </w:r>
            <w:r w:rsidDel="00BD2C01">
              <w:t xml:space="preserve"> </w:t>
            </w:r>
          </w:p>
        </w:tc>
        <w:tc>
          <w:tcPr>
            <w:tcW w:w="261" w:type="dxa"/>
            <w:vMerge/>
            <w:tcBorders>
              <w:bottom w:val="nil"/>
            </w:tcBorders>
            <w:shd w:val="clear" w:color="auto" w:fill="auto"/>
          </w:tcPr>
          <w:p w:rsidR="00117BFA" w:rsidRPr="004607B5" w:rsidRDefault="00117BFA" w:rsidP="003C2E66">
            <w:pPr>
              <w:pStyle w:val="ToolTableText"/>
            </w:pPr>
          </w:p>
        </w:tc>
        <w:tc>
          <w:tcPr>
            <w:tcW w:w="2078" w:type="dxa"/>
            <w:shd w:val="clear" w:color="auto" w:fill="auto"/>
          </w:tcPr>
          <w:p w:rsidR="00117BFA" w:rsidRPr="000A134E" w:rsidRDefault="00117BFA" w:rsidP="003C2E66">
            <w:pPr>
              <w:pStyle w:val="ToolTableText"/>
              <w:rPr>
                <w:b/>
              </w:rPr>
            </w:pPr>
            <w:r w:rsidRPr="000A134E">
              <w:rPr>
                <w:b/>
              </w:rPr>
              <w:t>Evidence</w:t>
            </w:r>
          </w:p>
          <w:p w:rsidR="00117BFA" w:rsidRPr="004607B5" w:rsidRDefault="00117BFA" w:rsidP="003C2E66">
            <w:pPr>
              <w:pStyle w:val="ToolTableText"/>
            </w:pPr>
            <w:r w:rsidRPr="005B4EB3">
              <w:t>“many western bran</w:t>
            </w:r>
            <w:r>
              <w:t>d</w:t>
            </w:r>
            <w:r w:rsidRPr="005B4EB3">
              <w:t>s rely on audits and in-house checks</w:t>
            </w:r>
            <w:r w:rsidR="003217F5">
              <w:t xml:space="preserve"> </w:t>
            </w:r>
            <w:r w:rsidRPr="005B4EB3">
              <w:t>…</w:t>
            </w:r>
            <w:r w:rsidR="003217F5">
              <w:t xml:space="preserve"> </w:t>
            </w:r>
            <w:r w:rsidRPr="005B4EB3">
              <w:t>this process often fails to give an accurate picture” (</w:t>
            </w:r>
            <w:r w:rsidR="00F57091">
              <w:t xml:space="preserve">p. </w:t>
            </w:r>
            <w:r w:rsidRPr="005B4EB3">
              <w:t>2)</w:t>
            </w:r>
          </w:p>
        </w:tc>
        <w:tc>
          <w:tcPr>
            <w:tcW w:w="261" w:type="dxa"/>
            <w:vMerge/>
            <w:tcBorders>
              <w:bottom w:val="nil"/>
            </w:tcBorders>
            <w:shd w:val="clear" w:color="auto" w:fill="auto"/>
          </w:tcPr>
          <w:p w:rsidR="00117BFA" w:rsidRPr="004607B5" w:rsidRDefault="00117BFA" w:rsidP="003C2E66">
            <w:pPr>
              <w:pStyle w:val="ToolTableText"/>
            </w:pPr>
          </w:p>
        </w:tc>
        <w:tc>
          <w:tcPr>
            <w:tcW w:w="2146" w:type="dxa"/>
            <w:shd w:val="clear" w:color="auto" w:fill="auto"/>
          </w:tcPr>
          <w:p w:rsidR="00117BFA" w:rsidRPr="000A134E" w:rsidRDefault="00117BFA" w:rsidP="003C2E66">
            <w:pPr>
              <w:pStyle w:val="ToolTableText"/>
              <w:rPr>
                <w:b/>
              </w:rPr>
            </w:pPr>
            <w:r w:rsidRPr="000A134E">
              <w:rPr>
                <w:b/>
              </w:rPr>
              <w:t>Evidence</w:t>
            </w:r>
          </w:p>
          <w:p w:rsidR="00117BFA" w:rsidRPr="00F42AE4" w:rsidRDefault="00117BFA" w:rsidP="003C2E66">
            <w:pPr>
              <w:pStyle w:val="ToolTableText"/>
            </w:pPr>
            <w:r>
              <w:t>“the prices that they pay, [Brands] assure us, are enough to pay workers enough to live on and keep factories in tip top condition” (</w:t>
            </w:r>
            <w:r w:rsidR="00F57091">
              <w:t xml:space="preserve">p. </w:t>
            </w:r>
            <w:r>
              <w:t>1)</w:t>
            </w:r>
          </w:p>
        </w:tc>
      </w:tr>
    </w:tbl>
    <w:p w:rsidR="00FD3B84" w:rsidRDefault="00FD3B84">
      <w:bookmarkStart w:id="2" w:name="_GoBack"/>
      <w:bookmarkEnd w:id="2"/>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261"/>
        <w:gridCol w:w="2305"/>
        <w:gridCol w:w="261"/>
        <w:gridCol w:w="2078"/>
        <w:gridCol w:w="261"/>
        <w:gridCol w:w="2146"/>
      </w:tblGrid>
      <w:tr w:rsidR="00FD3B84" w:rsidTr="001F4176">
        <w:trPr>
          <w:trHeight w:val="432"/>
          <w:tblHeader/>
        </w:trPr>
        <w:tc>
          <w:tcPr>
            <w:tcW w:w="2264" w:type="dxa"/>
            <w:shd w:val="clear" w:color="auto" w:fill="D9D9D9" w:themeFill="background1" w:themeFillShade="D9"/>
            <w:vAlign w:val="center"/>
          </w:tcPr>
          <w:p w:rsidR="00FD3B84" w:rsidRPr="000A134E" w:rsidRDefault="00FD3B84" w:rsidP="00FD3B84">
            <w:pPr>
              <w:pStyle w:val="ToolTableText"/>
              <w:keepNext/>
              <w:spacing w:before="0" w:after="0"/>
              <w:rPr>
                <w:b/>
              </w:rPr>
            </w:pPr>
            <w:r w:rsidRPr="000A134E">
              <w:rPr>
                <w:b/>
              </w:rPr>
              <w:br w:type="page"/>
              <w:t>Supporting Claim</w:t>
            </w:r>
          </w:p>
        </w:tc>
        <w:tc>
          <w:tcPr>
            <w:tcW w:w="261" w:type="dxa"/>
            <w:tcBorders>
              <w:top w:val="nil"/>
            </w:tcBorders>
            <w:vAlign w:val="center"/>
          </w:tcPr>
          <w:p w:rsidR="00FD3B84" w:rsidRPr="000A134E" w:rsidRDefault="00FD3B84" w:rsidP="001F4176">
            <w:pPr>
              <w:pStyle w:val="ToolTableText"/>
              <w:spacing w:before="0" w:after="0"/>
              <w:rPr>
                <w:b/>
              </w:rPr>
            </w:pPr>
          </w:p>
        </w:tc>
        <w:tc>
          <w:tcPr>
            <w:tcW w:w="2305" w:type="dxa"/>
            <w:shd w:val="clear" w:color="auto" w:fill="D9D9D9" w:themeFill="background1" w:themeFillShade="D9"/>
            <w:vAlign w:val="center"/>
          </w:tcPr>
          <w:p w:rsidR="00FD3B84" w:rsidRPr="000A134E" w:rsidRDefault="00FD3B84" w:rsidP="001F4176">
            <w:pPr>
              <w:pStyle w:val="ToolTableText"/>
              <w:spacing w:before="0" w:after="0"/>
              <w:rPr>
                <w:b/>
              </w:rPr>
            </w:pPr>
            <w:r w:rsidRPr="000A134E">
              <w:rPr>
                <w:b/>
              </w:rPr>
              <w:br w:type="page"/>
              <w:t>Supporting Claim</w:t>
            </w:r>
          </w:p>
        </w:tc>
        <w:tc>
          <w:tcPr>
            <w:tcW w:w="261" w:type="dxa"/>
            <w:tcBorders>
              <w:top w:val="nil"/>
            </w:tcBorders>
            <w:vAlign w:val="center"/>
          </w:tcPr>
          <w:p w:rsidR="00FD3B84" w:rsidRPr="000A134E" w:rsidRDefault="00FD3B84" w:rsidP="001F4176">
            <w:pPr>
              <w:pStyle w:val="ToolTableText"/>
              <w:spacing w:before="0" w:after="0"/>
              <w:rPr>
                <w:b/>
              </w:rPr>
            </w:pPr>
          </w:p>
        </w:tc>
        <w:tc>
          <w:tcPr>
            <w:tcW w:w="2078" w:type="dxa"/>
            <w:shd w:val="clear" w:color="auto" w:fill="D9D9D9" w:themeFill="background1" w:themeFillShade="D9"/>
            <w:vAlign w:val="center"/>
          </w:tcPr>
          <w:p w:rsidR="00FD3B84" w:rsidRPr="000A134E" w:rsidRDefault="00FD3B84" w:rsidP="001F4176">
            <w:pPr>
              <w:pStyle w:val="ToolTableText"/>
              <w:spacing w:before="0" w:after="0"/>
              <w:rPr>
                <w:b/>
              </w:rPr>
            </w:pPr>
            <w:r w:rsidRPr="000A134E">
              <w:rPr>
                <w:b/>
              </w:rPr>
              <w:br w:type="page"/>
              <w:t>Supporting Claim</w:t>
            </w:r>
          </w:p>
        </w:tc>
        <w:tc>
          <w:tcPr>
            <w:tcW w:w="261" w:type="dxa"/>
            <w:tcBorders>
              <w:top w:val="nil"/>
            </w:tcBorders>
            <w:vAlign w:val="center"/>
          </w:tcPr>
          <w:p w:rsidR="00FD3B84" w:rsidRPr="000A134E" w:rsidRDefault="00FD3B84" w:rsidP="001F4176">
            <w:pPr>
              <w:pStyle w:val="ToolTableText"/>
              <w:spacing w:before="0" w:after="0"/>
              <w:rPr>
                <w:b/>
              </w:rPr>
            </w:pPr>
          </w:p>
        </w:tc>
        <w:tc>
          <w:tcPr>
            <w:tcW w:w="2146" w:type="dxa"/>
            <w:shd w:val="clear" w:color="auto" w:fill="D9D9D9" w:themeFill="background1" w:themeFillShade="D9"/>
            <w:vAlign w:val="center"/>
          </w:tcPr>
          <w:p w:rsidR="00FD3B84" w:rsidRPr="000A134E" w:rsidRDefault="00FD3B84" w:rsidP="001F4176">
            <w:pPr>
              <w:pStyle w:val="ToolTableText"/>
              <w:spacing w:before="0" w:after="0"/>
              <w:rPr>
                <w:b/>
              </w:rPr>
            </w:pPr>
            <w:r w:rsidRPr="000A134E">
              <w:rPr>
                <w:b/>
              </w:rPr>
              <w:br w:type="page"/>
              <w:t>Counterclaim</w:t>
            </w:r>
          </w:p>
        </w:tc>
      </w:tr>
      <w:tr w:rsidR="00117BFA" w:rsidTr="00FD3B84">
        <w:trPr>
          <w:trHeight w:val="1080"/>
          <w:tblHeader/>
        </w:trPr>
        <w:tc>
          <w:tcPr>
            <w:tcW w:w="2264" w:type="dxa"/>
            <w:tcBorders>
              <w:right w:val="single" w:sz="4" w:space="0" w:color="auto"/>
            </w:tcBorders>
            <w:shd w:val="clear" w:color="auto" w:fill="auto"/>
          </w:tcPr>
          <w:p w:rsidR="00117BFA" w:rsidRPr="00117BFA" w:rsidRDefault="00117BFA" w:rsidP="003C2E66">
            <w:pPr>
              <w:pStyle w:val="ToolTableText"/>
              <w:rPr>
                <w:b/>
              </w:rPr>
            </w:pPr>
            <w:r w:rsidRPr="00117BFA">
              <w:rPr>
                <w:b/>
              </w:rPr>
              <w:t>Is the evidence relevant and sufficient? What more do you need to know?</w:t>
            </w:r>
          </w:p>
          <w:p w:rsidR="00117BFA" w:rsidRPr="00183C2E" w:rsidRDefault="00117BFA" w:rsidP="003C2E66">
            <w:pPr>
              <w:pStyle w:val="ToolTableText"/>
            </w:pPr>
            <w:r>
              <w:t>The evidence is relevant, but it might be more sufficient if there were first-hand accounts of the conditions.</w:t>
            </w:r>
          </w:p>
        </w:tc>
        <w:tc>
          <w:tcPr>
            <w:tcW w:w="261" w:type="dxa"/>
            <w:tcBorders>
              <w:top w:val="nil"/>
              <w:left w:val="single" w:sz="4" w:space="0" w:color="auto"/>
              <w:bottom w:val="nil"/>
              <w:right w:val="single" w:sz="4" w:space="0" w:color="auto"/>
            </w:tcBorders>
            <w:shd w:val="clear" w:color="auto" w:fill="auto"/>
          </w:tcPr>
          <w:p w:rsidR="00117BFA" w:rsidRPr="004607B5" w:rsidRDefault="00117BFA" w:rsidP="003C2E66">
            <w:pPr>
              <w:pStyle w:val="ToolTableText"/>
            </w:pPr>
          </w:p>
        </w:tc>
        <w:tc>
          <w:tcPr>
            <w:tcW w:w="2305" w:type="dxa"/>
            <w:tcBorders>
              <w:left w:val="single" w:sz="4" w:space="0" w:color="auto"/>
            </w:tcBorders>
            <w:shd w:val="clear" w:color="auto" w:fill="auto"/>
          </w:tcPr>
          <w:p w:rsidR="00117BFA" w:rsidRPr="00117BFA" w:rsidRDefault="00117BFA" w:rsidP="003C2E66">
            <w:pPr>
              <w:pStyle w:val="ToolTableText"/>
              <w:rPr>
                <w:b/>
              </w:rPr>
            </w:pPr>
            <w:r w:rsidRPr="00117BFA">
              <w:rPr>
                <w:b/>
              </w:rPr>
              <w:t>Is the evidence relevant and sufficient? What more do you need to know?</w:t>
            </w:r>
          </w:p>
          <w:p w:rsidR="00117BFA" w:rsidRPr="00183C2E" w:rsidRDefault="00117BFA" w:rsidP="003C2E66">
            <w:pPr>
              <w:pStyle w:val="ToolTableText"/>
            </w:pPr>
            <w:r>
              <w:t xml:space="preserve">The evidence is relevant, but there do not seem to be many companies signed up and </w:t>
            </w:r>
            <w:r w:rsidR="00F57091">
              <w:t xml:space="preserve">we </w:t>
            </w:r>
            <w:r>
              <w:t>would need to know what other options there are to be able to agree that this is the “best” option.</w:t>
            </w:r>
          </w:p>
        </w:tc>
        <w:tc>
          <w:tcPr>
            <w:tcW w:w="261" w:type="dxa"/>
            <w:tcBorders>
              <w:top w:val="nil"/>
              <w:bottom w:val="nil"/>
            </w:tcBorders>
            <w:shd w:val="clear" w:color="auto" w:fill="auto"/>
          </w:tcPr>
          <w:p w:rsidR="00117BFA" w:rsidRPr="004607B5" w:rsidRDefault="00117BFA" w:rsidP="003C2E66">
            <w:pPr>
              <w:pStyle w:val="ToolTableText"/>
            </w:pPr>
          </w:p>
        </w:tc>
        <w:tc>
          <w:tcPr>
            <w:tcW w:w="2078" w:type="dxa"/>
            <w:shd w:val="clear" w:color="auto" w:fill="auto"/>
          </w:tcPr>
          <w:p w:rsidR="00117BFA" w:rsidRDefault="00117BFA" w:rsidP="003C2E66">
            <w:pPr>
              <w:pStyle w:val="ToolTableText"/>
              <w:rPr>
                <w:rFonts w:eastAsia="Verdana" w:cs="Calibri"/>
                <w:color w:val="595959"/>
              </w:rPr>
            </w:pPr>
            <w:r w:rsidRPr="00117BFA">
              <w:rPr>
                <w:b/>
              </w:rPr>
              <w:t>Is the evidence relevant and sufficient? What more do you need to</w:t>
            </w:r>
            <w:r w:rsidRPr="00BD2C01">
              <w:t xml:space="preserve"> </w:t>
            </w:r>
            <w:r w:rsidRPr="00117BFA">
              <w:rPr>
                <w:b/>
              </w:rPr>
              <w:t>know?</w:t>
            </w:r>
          </w:p>
          <w:p w:rsidR="00117BFA" w:rsidRPr="005B4EB3" w:rsidRDefault="00117BFA" w:rsidP="003C2E66">
            <w:pPr>
              <w:pStyle w:val="ToolTableText"/>
            </w:pPr>
            <w:r w:rsidRPr="005B4EB3">
              <w:t xml:space="preserve">This evidence is relevant, but </w:t>
            </w:r>
            <w:r w:rsidR="00F57091">
              <w:t xml:space="preserve">it </w:t>
            </w:r>
            <w:r w:rsidRPr="005B4EB3">
              <w:t>would be helpful to have an example or citation of one of these audits failing (like how Rana Plaza was checked a day before the collapse happened).</w:t>
            </w:r>
          </w:p>
        </w:tc>
        <w:tc>
          <w:tcPr>
            <w:tcW w:w="261" w:type="dxa"/>
            <w:tcBorders>
              <w:top w:val="nil"/>
              <w:bottom w:val="nil"/>
            </w:tcBorders>
            <w:shd w:val="clear" w:color="auto" w:fill="auto"/>
          </w:tcPr>
          <w:p w:rsidR="00117BFA" w:rsidRPr="004607B5" w:rsidRDefault="00117BFA" w:rsidP="003C2E66">
            <w:pPr>
              <w:pStyle w:val="ToolTableText"/>
            </w:pPr>
          </w:p>
        </w:tc>
        <w:tc>
          <w:tcPr>
            <w:tcW w:w="2146" w:type="dxa"/>
            <w:shd w:val="clear" w:color="auto" w:fill="auto"/>
          </w:tcPr>
          <w:p w:rsidR="00117BFA" w:rsidRDefault="00117BFA" w:rsidP="003C2E66">
            <w:pPr>
              <w:pStyle w:val="ToolTableText"/>
            </w:pPr>
            <w:r w:rsidRPr="00117BFA">
              <w:rPr>
                <w:b/>
              </w:rPr>
              <w:t>Is the evidence relevant and sufficient? What more do you need to</w:t>
            </w:r>
            <w:r>
              <w:t xml:space="preserve"> </w:t>
            </w:r>
            <w:r w:rsidRPr="00117BFA">
              <w:rPr>
                <w:b/>
              </w:rPr>
              <w:t>know?</w:t>
            </w:r>
          </w:p>
          <w:p w:rsidR="00117BFA" w:rsidRPr="00F42AE4" w:rsidRDefault="00117BFA" w:rsidP="003C2E66">
            <w:pPr>
              <w:pStyle w:val="ToolTableText"/>
              <w:rPr>
                <w:rFonts w:eastAsia="Verdana" w:cs="Calibri"/>
                <w:color w:val="595959"/>
              </w:rPr>
            </w:pPr>
            <w:r>
              <w:t>The evidence is relevant, but does not contain any proof that the workers are being paid enough to live on</w:t>
            </w:r>
            <w:r w:rsidR="00F57091">
              <w:t>. It also does not</w:t>
            </w:r>
            <w:r>
              <w:t xml:space="preserve"> define what kind of quality of life they can have with that amount of money.</w:t>
            </w:r>
          </w:p>
        </w:tc>
      </w:tr>
    </w:tbl>
    <w:p w:rsidR="000A134E" w:rsidRDefault="000A134E" w:rsidP="00284BD4"/>
    <w:p w:rsidR="00284BD4" w:rsidRDefault="00284BD4" w:rsidP="00284BD4">
      <w:pPr>
        <w:sectPr w:rsidR="00284BD4"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0116B2" w:rsidRDefault="00FF2E19" w:rsidP="00A254F4">
      <w:pPr>
        <w:pStyle w:val="NoSpacing"/>
        <w:jc w:val="center"/>
      </w:pPr>
      <w:r>
        <w:rPr>
          <w:noProof/>
        </w:rPr>
        <w:drawing>
          <wp:inline distT="0" distB="0" distL="0" distR="0">
            <wp:extent cx="8878824"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ing-EBC.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78824" cy="6858000"/>
                    </a:xfrm>
                    <a:prstGeom prst="rect">
                      <a:avLst/>
                    </a:prstGeom>
                  </pic:spPr>
                </pic:pic>
              </a:graphicData>
            </a:graphic>
          </wp:inline>
        </w:drawing>
      </w:r>
    </w:p>
    <w:sectPr w:rsidR="000116B2" w:rsidSect="00304939">
      <w:headerReference w:type="default" r:id="rId13"/>
      <w:footerReference w:type="default" r:id="rId14"/>
      <w:pgSz w:w="15840" w:h="12240" w:orient="landscape" w:code="1"/>
      <w:pgMar w:top="432" w:right="432" w:bottom="432" w:left="432" w:header="288"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1C" w:rsidRDefault="00746F1C" w:rsidP="00E946A0">
      <w:r>
        <w:separator/>
      </w:r>
    </w:p>
    <w:p w:rsidR="00746F1C" w:rsidRDefault="00746F1C" w:rsidP="00E946A0"/>
  </w:endnote>
  <w:endnote w:type="continuationSeparator" w:id="0">
    <w:p w:rsidR="00746F1C" w:rsidRDefault="00746F1C" w:rsidP="00E946A0">
      <w:r>
        <w:continuationSeparator/>
      </w:r>
    </w:p>
    <w:p w:rsidR="00746F1C" w:rsidRDefault="00746F1C"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DEC9B134-44CE-4E26-9979-2B046582B7BB}"/>
  </w:font>
  <w:font w:name="Webdings">
    <w:panose1 w:val="05030102010509060703"/>
    <w:charset w:val="02"/>
    <w:family w:val="roman"/>
    <w:pitch w:val="variable"/>
    <w:sig w:usb0="00000000" w:usb1="10000000" w:usb2="00000000" w:usb3="00000000" w:csb0="80000000" w:csb1="00000000"/>
    <w:embedRegular r:id="rId2" w:subsetted="1" w:fontKey="{27B1211D-2E1C-49C5-9E0A-64ECB7645A9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7D" w:rsidRDefault="00961A62" w:rsidP="00E946A0">
    <w:pPr>
      <w:pStyle w:val="Footer"/>
      <w:rPr>
        <w:rStyle w:val="PageNumber"/>
      </w:rPr>
    </w:pPr>
    <w:r>
      <w:rPr>
        <w:rStyle w:val="PageNumber"/>
      </w:rPr>
      <w:fldChar w:fldCharType="begin"/>
    </w:r>
    <w:r w:rsidR="008F087D">
      <w:rPr>
        <w:rStyle w:val="PageNumber"/>
      </w:rPr>
      <w:instrText xml:space="preserve">PAGE  </w:instrText>
    </w:r>
    <w:r>
      <w:rPr>
        <w:rStyle w:val="PageNumber"/>
      </w:rPr>
      <w:fldChar w:fldCharType="end"/>
    </w:r>
  </w:p>
  <w:p w:rsidR="008F087D" w:rsidRDefault="008F087D" w:rsidP="00E946A0">
    <w:pPr>
      <w:pStyle w:val="Footer"/>
    </w:pPr>
  </w:p>
  <w:p w:rsidR="008F087D" w:rsidRDefault="008F087D" w:rsidP="00E946A0"/>
  <w:p w:rsidR="008F087D" w:rsidRDefault="008F087D"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7D" w:rsidRPr="00563CB8" w:rsidRDefault="008F087D"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F087D" w:rsidTr="0039525B">
      <w:trPr>
        <w:trHeight w:val="705"/>
      </w:trPr>
      <w:tc>
        <w:tcPr>
          <w:tcW w:w="4609" w:type="dxa"/>
          <w:shd w:val="clear" w:color="auto" w:fill="auto"/>
          <w:vAlign w:val="center"/>
        </w:tcPr>
        <w:p w:rsidR="008F087D" w:rsidRPr="00BE1675" w:rsidRDefault="008F087D" w:rsidP="004F2969">
          <w:pPr>
            <w:pStyle w:val="FooterText"/>
            <w:rPr>
              <w:rFonts w:asciiTheme="minorHAnsi" w:hAnsiTheme="minorHAnsi"/>
            </w:rPr>
          </w:pPr>
          <w:r w:rsidRPr="00BE1675">
            <w:rPr>
              <w:rFonts w:asciiTheme="minorHAnsi" w:hAnsiTheme="minorHAnsi"/>
            </w:rPr>
            <w:t>File:</w:t>
          </w:r>
          <w:r w:rsidRPr="00BE1675">
            <w:rPr>
              <w:rFonts w:asciiTheme="minorHAnsi" w:hAnsiTheme="minorHAnsi"/>
              <w:b w:val="0"/>
            </w:rPr>
            <w:t xml:space="preserve"> 9.4.1 Lesson 1</w:t>
          </w:r>
          <w:r>
            <w:rPr>
              <w:rFonts w:asciiTheme="minorHAnsi" w:hAnsiTheme="minorHAnsi"/>
              <w:b w:val="0"/>
            </w:rPr>
            <w:t>3</w:t>
          </w:r>
          <w:r w:rsidRPr="00BE1675">
            <w:rPr>
              <w:rFonts w:asciiTheme="minorHAnsi" w:hAnsiTheme="minorHAnsi"/>
            </w:rPr>
            <w:t xml:space="preserve"> Date:</w:t>
          </w:r>
          <w:r w:rsidRPr="00BE1675">
            <w:rPr>
              <w:rFonts w:asciiTheme="minorHAnsi" w:hAnsiTheme="minorHAnsi"/>
              <w:b w:val="0"/>
            </w:rPr>
            <w:t xml:space="preserve"> 3/28/14 </w:t>
          </w:r>
          <w:r w:rsidRPr="00BE1675">
            <w:rPr>
              <w:rFonts w:asciiTheme="minorHAnsi" w:hAnsiTheme="minorHAnsi"/>
            </w:rPr>
            <w:t>Classroom Use:</w:t>
          </w:r>
          <w:r w:rsidR="008935E7">
            <w:rPr>
              <w:rFonts w:asciiTheme="minorHAnsi" w:hAnsiTheme="minorHAnsi"/>
              <w:b w:val="0"/>
            </w:rPr>
            <w:t xml:space="preserve"> Starting 4</w:t>
          </w:r>
          <w:r w:rsidRPr="00BE1675">
            <w:rPr>
              <w:rFonts w:asciiTheme="minorHAnsi" w:hAnsiTheme="minorHAnsi"/>
              <w:b w:val="0"/>
            </w:rPr>
            <w:t xml:space="preserve">/2014 </w:t>
          </w:r>
        </w:p>
        <w:p w:rsidR="008F087D" w:rsidRPr="00BE1675" w:rsidRDefault="008F087D" w:rsidP="004F2969">
          <w:pPr>
            <w:pStyle w:val="FooterText"/>
            <w:rPr>
              <w:rFonts w:asciiTheme="minorHAnsi" w:hAnsiTheme="minorHAnsi"/>
              <w:b w:val="0"/>
              <w:i/>
              <w:sz w:val="12"/>
            </w:rPr>
          </w:pPr>
          <w:r w:rsidRPr="00BE1675">
            <w:rPr>
              <w:rFonts w:asciiTheme="minorHAnsi" w:hAnsiTheme="minorHAnsi"/>
              <w:b w:val="0"/>
              <w:sz w:val="12"/>
            </w:rPr>
            <w:t>© 2014 Public Consulting Group.</w:t>
          </w:r>
          <w:r w:rsidRPr="00BE1675">
            <w:rPr>
              <w:rFonts w:asciiTheme="minorHAnsi" w:hAnsiTheme="minorHAnsi"/>
              <w:b w:val="0"/>
              <w:i/>
              <w:sz w:val="12"/>
            </w:rPr>
            <w:t xml:space="preserve"> This work is licensed under a </w:t>
          </w:r>
        </w:p>
        <w:p w:rsidR="008F087D" w:rsidRPr="00BE1675" w:rsidRDefault="008F087D" w:rsidP="004F2969">
          <w:pPr>
            <w:pStyle w:val="FooterText"/>
            <w:rPr>
              <w:rFonts w:asciiTheme="minorHAnsi" w:hAnsiTheme="minorHAnsi"/>
              <w:b w:val="0"/>
              <w:i/>
            </w:rPr>
          </w:pPr>
          <w:r w:rsidRPr="00BE1675">
            <w:rPr>
              <w:rFonts w:asciiTheme="minorHAnsi" w:hAnsiTheme="minorHAnsi"/>
              <w:b w:val="0"/>
              <w:i/>
              <w:sz w:val="12"/>
            </w:rPr>
            <w:t>Creative Commons Attribution-NonCommercial-ShareAlike 3.0 Unported License</w:t>
          </w:r>
        </w:p>
        <w:p w:rsidR="008F087D" w:rsidRPr="002E4C92" w:rsidRDefault="00961A62" w:rsidP="004F2969">
          <w:pPr>
            <w:pStyle w:val="FooterText"/>
          </w:pPr>
          <w:hyperlink r:id="rId1" w:history="1">
            <w:r w:rsidR="008F087D" w:rsidRPr="00BE1675">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F087D" w:rsidRPr="002E4C92" w:rsidRDefault="00961A6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F087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B116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8F087D" w:rsidRPr="002E4C92" w:rsidRDefault="008F087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F087D" w:rsidRPr="0039525B" w:rsidRDefault="008F087D"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F4" w:rsidRPr="00304939" w:rsidRDefault="00A254F4" w:rsidP="00304939">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1C" w:rsidRDefault="00746F1C" w:rsidP="00E946A0">
      <w:r>
        <w:separator/>
      </w:r>
    </w:p>
    <w:p w:rsidR="00746F1C" w:rsidRDefault="00746F1C" w:rsidP="00E946A0"/>
  </w:footnote>
  <w:footnote w:type="continuationSeparator" w:id="0">
    <w:p w:rsidR="00746F1C" w:rsidRDefault="00746F1C" w:rsidP="00E946A0">
      <w:r>
        <w:continuationSeparator/>
      </w:r>
    </w:p>
    <w:p w:rsidR="00746F1C" w:rsidRDefault="00746F1C"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F087D" w:rsidRPr="00563CB8" w:rsidTr="00E946A0">
      <w:tc>
        <w:tcPr>
          <w:tcW w:w="3708" w:type="dxa"/>
          <w:shd w:val="clear" w:color="auto" w:fill="auto"/>
        </w:tcPr>
        <w:p w:rsidR="008F087D" w:rsidRPr="00563CB8" w:rsidRDefault="008F087D"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F087D" w:rsidRPr="00563CB8" w:rsidRDefault="008F087D" w:rsidP="00E946A0">
          <w:pPr>
            <w:jc w:val="center"/>
          </w:pPr>
          <w:r w:rsidRPr="00563CB8">
            <w:t>D R A F T</w:t>
          </w:r>
        </w:p>
      </w:tc>
      <w:tc>
        <w:tcPr>
          <w:tcW w:w="3438" w:type="dxa"/>
          <w:shd w:val="clear" w:color="auto" w:fill="auto"/>
        </w:tcPr>
        <w:p w:rsidR="008F087D" w:rsidRPr="00E946A0" w:rsidRDefault="008F087D" w:rsidP="00F4490B">
          <w:pPr>
            <w:pStyle w:val="PageHeader"/>
            <w:jc w:val="right"/>
            <w:rPr>
              <w:b w:val="0"/>
            </w:rPr>
          </w:pPr>
          <w:r>
            <w:rPr>
              <w:b w:val="0"/>
            </w:rPr>
            <w:t>Grade 9 • Module 4</w:t>
          </w:r>
          <w:r w:rsidRPr="00E946A0">
            <w:rPr>
              <w:b w:val="0"/>
            </w:rPr>
            <w:t xml:space="preserve"> •</w:t>
          </w:r>
          <w:r>
            <w:rPr>
              <w:b w:val="0"/>
            </w:rPr>
            <w:t xml:space="preserve"> Unit 1</w:t>
          </w:r>
          <w:r w:rsidRPr="00E946A0">
            <w:rPr>
              <w:b w:val="0"/>
            </w:rPr>
            <w:t xml:space="preserve"> •</w:t>
          </w:r>
          <w:r>
            <w:rPr>
              <w:b w:val="0"/>
            </w:rPr>
            <w:t xml:space="preserve"> </w:t>
          </w:r>
          <w:r w:rsidRPr="00E946A0">
            <w:rPr>
              <w:b w:val="0"/>
            </w:rPr>
            <w:t xml:space="preserve">Lesson </w:t>
          </w:r>
          <w:r>
            <w:rPr>
              <w:b w:val="0"/>
            </w:rPr>
            <w:t>13</w:t>
          </w:r>
        </w:p>
      </w:tc>
    </w:tr>
  </w:tbl>
  <w:p w:rsidR="008F087D" w:rsidRDefault="008F087D"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F4" w:rsidRDefault="00A254F4" w:rsidP="00A254F4">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C4E0617C"/>
    <w:lvl w:ilvl="0" w:tplc="8BF26D30">
      <w:start w:val="1"/>
      <w:numFmt w:val="bullet"/>
      <w:pStyle w:val="IN"/>
      <w:lvlText w:val=""/>
      <w:lvlJc w:val="left"/>
      <w:pPr>
        <w:ind w:left="90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AEF0A7BC"/>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F46017F"/>
    <w:multiLevelType w:val="hybridMultilevel"/>
    <w:tmpl w:val="1BA2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BFD00638"/>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EF08BCE2"/>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462F2D"/>
    <w:multiLevelType w:val="hybridMultilevel"/>
    <w:tmpl w:val="2CE0D2DA"/>
    <w:lvl w:ilvl="0" w:tplc="37ECEB9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F4939C6"/>
    <w:multiLevelType w:val="hybridMultilevel"/>
    <w:tmpl w:val="7B18C6B6"/>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3970CB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D0863918"/>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C246819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4"/>
  </w:num>
  <w:num w:numId="17">
    <w:abstractNumId w:val="14"/>
  </w:num>
  <w:num w:numId="18">
    <w:abstractNumId w:val="15"/>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6"/>
  </w:num>
  <w:num w:numId="27">
    <w:abstractNumId w:val="2"/>
    <w:lvlOverride w:ilvl="0">
      <w:startOverride w:val="1"/>
    </w:lvlOverride>
  </w:num>
  <w:num w:numId="28">
    <w:abstractNumId w:val="19"/>
  </w:num>
  <w:num w:numId="29">
    <w:abstractNumId w:val="11"/>
  </w:num>
  <w:num w:numId="30">
    <w:abstractNumId w:val="17"/>
  </w:num>
  <w:num w:numId="31">
    <w:abstractNumId w:val="28"/>
  </w:num>
  <w:num w:numId="32">
    <w:abstractNumId w:val="21"/>
  </w:num>
  <w:num w:numId="33">
    <w:abstractNumId w:val="25"/>
  </w:num>
  <w:num w:numId="34">
    <w:abstractNumId w:val="9"/>
    <w:lvlOverride w:ilvl="0">
      <w:startOverride w:val="1"/>
    </w:lvlOverride>
  </w:num>
  <w:num w:numId="35">
    <w:abstractNumId w:val="22"/>
  </w:num>
  <w:num w:numId="36">
    <w:abstractNumId w:val="10"/>
  </w:num>
  <w:num w:numId="37">
    <w:abstractNumId w:val="13"/>
  </w:num>
  <w:num w:numId="38">
    <w:abstractNumId w:val="27"/>
  </w:num>
  <w:num w:numId="39">
    <w:abstractNumId w:val="8"/>
  </w:num>
  <w:num w:numId="40">
    <w:abstractNumId w:val="18"/>
  </w:num>
  <w:num w:numId="41">
    <w:abstractNumId w:val="1"/>
  </w:num>
  <w:num w:numId="42">
    <w:abstractNumId w:val="22"/>
  </w:num>
  <w:num w:numId="43">
    <w:abstractNumId w:val="9"/>
    <w:lvlOverride w:ilvl="0">
      <w:startOverride w:val="1"/>
    </w:lvlOverride>
  </w:num>
  <w:num w:numId="44">
    <w:abstractNumId w:val="25"/>
  </w:num>
  <w:num w:numId="45">
    <w:abstractNumId w:val="2"/>
  </w:num>
  <w:num w:numId="46">
    <w:abstractNumId w:val="21"/>
  </w:num>
  <w:num w:numId="47">
    <w:abstractNumId w:val="27"/>
  </w:num>
  <w:num w:numId="48">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C9B"/>
    <w:rsid w:val="00006E85"/>
    <w:rsid w:val="00007CBA"/>
    <w:rsid w:val="00007F67"/>
    <w:rsid w:val="000116B2"/>
    <w:rsid w:val="0001198F"/>
    <w:rsid w:val="00011E99"/>
    <w:rsid w:val="00012FBA"/>
    <w:rsid w:val="000134DA"/>
    <w:rsid w:val="000137C5"/>
    <w:rsid w:val="00014D5D"/>
    <w:rsid w:val="00020527"/>
    <w:rsid w:val="00021589"/>
    <w:rsid w:val="00022FC4"/>
    <w:rsid w:val="0002335F"/>
    <w:rsid w:val="00023741"/>
    <w:rsid w:val="00034778"/>
    <w:rsid w:val="00053088"/>
    <w:rsid w:val="00062291"/>
    <w:rsid w:val="0006233C"/>
    <w:rsid w:val="00064850"/>
    <w:rsid w:val="00066123"/>
    <w:rsid w:val="0006776C"/>
    <w:rsid w:val="00071936"/>
    <w:rsid w:val="000720AA"/>
    <w:rsid w:val="00072749"/>
    <w:rsid w:val="000742AA"/>
    <w:rsid w:val="00075649"/>
    <w:rsid w:val="00080611"/>
    <w:rsid w:val="00080A8A"/>
    <w:rsid w:val="00081DCC"/>
    <w:rsid w:val="000848B2"/>
    <w:rsid w:val="00086A06"/>
    <w:rsid w:val="00090200"/>
    <w:rsid w:val="0009135C"/>
    <w:rsid w:val="000919E9"/>
    <w:rsid w:val="00092730"/>
    <w:rsid w:val="00092C82"/>
    <w:rsid w:val="00095BBA"/>
    <w:rsid w:val="00096A06"/>
    <w:rsid w:val="000A1206"/>
    <w:rsid w:val="000A134E"/>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D134E"/>
    <w:rsid w:val="000E0B69"/>
    <w:rsid w:val="000E15A9"/>
    <w:rsid w:val="000E4DBA"/>
    <w:rsid w:val="000E76EE"/>
    <w:rsid w:val="000F192C"/>
    <w:rsid w:val="000F2414"/>
    <w:rsid w:val="000F38E4"/>
    <w:rsid w:val="000F58E1"/>
    <w:rsid w:val="000F7D35"/>
    <w:rsid w:val="000F7F56"/>
    <w:rsid w:val="00102056"/>
    <w:rsid w:val="0010235F"/>
    <w:rsid w:val="00102621"/>
    <w:rsid w:val="00106AA0"/>
    <w:rsid w:val="00110A04"/>
    <w:rsid w:val="00111A39"/>
    <w:rsid w:val="00113501"/>
    <w:rsid w:val="001159C2"/>
    <w:rsid w:val="00117BFA"/>
    <w:rsid w:val="001215F2"/>
    <w:rsid w:val="00121C27"/>
    <w:rsid w:val="001258FD"/>
    <w:rsid w:val="00133528"/>
    <w:rsid w:val="001352AE"/>
    <w:rsid w:val="001362D4"/>
    <w:rsid w:val="00140413"/>
    <w:rsid w:val="001439E2"/>
    <w:rsid w:val="001454B6"/>
    <w:rsid w:val="001455F6"/>
    <w:rsid w:val="001509EC"/>
    <w:rsid w:val="0015118C"/>
    <w:rsid w:val="00156124"/>
    <w:rsid w:val="001657A6"/>
    <w:rsid w:val="00170815"/>
    <w:rsid w:val="001708C2"/>
    <w:rsid w:val="001723D5"/>
    <w:rsid w:val="001740B9"/>
    <w:rsid w:val="00175B00"/>
    <w:rsid w:val="00183C2E"/>
    <w:rsid w:val="0018630D"/>
    <w:rsid w:val="00186355"/>
    <w:rsid w:val="001864E6"/>
    <w:rsid w:val="00186FDA"/>
    <w:rsid w:val="0018762C"/>
    <w:rsid w:val="001945FA"/>
    <w:rsid w:val="00194F1D"/>
    <w:rsid w:val="001A3DD1"/>
    <w:rsid w:val="001A5133"/>
    <w:rsid w:val="001B0794"/>
    <w:rsid w:val="001B1487"/>
    <w:rsid w:val="001C1C99"/>
    <w:rsid w:val="001C1E7E"/>
    <w:rsid w:val="001C35E3"/>
    <w:rsid w:val="001C5188"/>
    <w:rsid w:val="001C6B70"/>
    <w:rsid w:val="001C798A"/>
    <w:rsid w:val="001D047B"/>
    <w:rsid w:val="001D0518"/>
    <w:rsid w:val="001D0BDE"/>
    <w:rsid w:val="001D641A"/>
    <w:rsid w:val="001E189E"/>
    <w:rsid w:val="001E7FA0"/>
    <w:rsid w:val="001F0511"/>
    <w:rsid w:val="001F0991"/>
    <w:rsid w:val="001F6C4F"/>
    <w:rsid w:val="002009F7"/>
    <w:rsid w:val="0020138A"/>
    <w:rsid w:val="002041CD"/>
    <w:rsid w:val="00207C8B"/>
    <w:rsid w:val="00216BCB"/>
    <w:rsid w:val="002226C9"/>
    <w:rsid w:val="00224590"/>
    <w:rsid w:val="002306FF"/>
    <w:rsid w:val="00231919"/>
    <w:rsid w:val="00240FF7"/>
    <w:rsid w:val="00244ACE"/>
    <w:rsid w:val="0024557C"/>
    <w:rsid w:val="00245B86"/>
    <w:rsid w:val="002516D4"/>
    <w:rsid w:val="00251A7C"/>
    <w:rsid w:val="00251DAB"/>
    <w:rsid w:val="00252D78"/>
    <w:rsid w:val="00255F4F"/>
    <w:rsid w:val="002619B1"/>
    <w:rsid w:val="002635F4"/>
    <w:rsid w:val="00263AF5"/>
    <w:rsid w:val="002661A8"/>
    <w:rsid w:val="002748DB"/>
    <w:rsid w:val="00274FEB"/>
    <w:rsid w:val="002764B4"/>
    <w:rsid w:val="00276DB9"/>
    <w:rsid w:val="0028104F"/>
    <w:rsid w:val="0028184C"/>
    <w:rsid w:val="00284B9E"/>
    <w:rsid w:val="00284BD4"/>
    <w:rsid w:val="00284FC0"/>
    <w:rsid w:val="00287C84"/>
    <w:rsid w:val="00290F88"/>
    <w:rsid w:val="0029527C"/>
    <w:rsid w:val="00297DC5"/>
    <w:rsid w:val="002A21DE"/>
    <w:rsid w:val="002A5337"/>
    <w:rsid w:val="002C0245"/>
    <w:rsid w:val="002C02FB"/>
    <w:rsid w:val="002C5F0D"/>
    <w:rsid w:val="002D5EB9"/>
    <w:rsid w:val="002D632F"/>
    <w:rsid w:val="002E27AE"/>
    <w:rsid w:val="002E4C92"/>
    <w:rsid w:val="002E6870"/>
    <w:rsid w:val="002F03D2"/>
    <w:rsid w:val="002F3D65"/>
    <w:rsid w:val="002F4D0F"/>
    <w:rsid w:val="00304939"/>
    <w:rsid w:val="003067BF"/>
    <w:rsid w:val="00311E81"/>
    <w:rsid w:val="00317306"/>
    <w:rsid w:val="003201AC"/>
    <w:rsid w:val="003217F5"/>
    <w:rsid w:val="0032239A"/>
    <w:rsid w:val="0032306C"/>
    <w:rsid w:val="00332053"/>
    <w:rsid w:val="00335168"/>
    <w:rsid w:val="003357D9"/>
    <w:rsid w:val="003368BF"/>
    <w:rsid w:val="003440A9"/>
    <w:rsid w:val="00347761"/>
    <w:rsid w:val="00347DD9"/>
    <w:rsid w:val="00350B03"/>
    <w:rsid w:val="00351804"/>
    <w:rsid w:val="00351F18"/>
    <w:rsid w:val="00352361"/>
    <w:rsid w:val="00353081"/>
    <w:rsid w:val="00355B9E"/>
    <w:rsid w:val="00356656"/>
    <w:rsid w:val="00362010"/>
    <w:rsid w:val="00364CD8"/>
    <w:rsid w:val="0036638F"/>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2ACD"/>
    <w:rsid w:val="003A3AB0"/>
    <w:rsid w:val="003A6785"/>
    <w:rsid w:val="003B3DB9"/>
    <w:rsid w:val="003B7708"/>
    <w:rsid w:val="003C0F02"/>
    <w:rsid w:val="003C0F73"/>
    <w:rsid w:val="003C2022"/>
    <w:rsid w:val="003C24AD"/>
    <w:rsid w:val="003C2E66"/>
    <w:rsid w:val="003C6DC9"/>
    <w:rsid w:val="003C76A2"/>
    <w:rsid w:val="003D2601"/>
    <w:rsid w:val="003D27E3"/>
    <w:rsid w:val="003D28E6"/>
    <w:rsid w:val="003D7469"/>
    <w:rsid w:val="003E2C04"/>
    <w:rsid w:val="003E3757"/>
    <w:rsid w:val="003E693A"/>
    <w:rsid w:val="003F2833"/>
    <w:rsid w:val="003F2D86"/>
    <w:rsid w:val="003F2E72"/>
    <w:rsid w:val="003F3D65"/>
    <w:rsid w:val="003F440C"/>
    <w:rsid w:val="00400318"/>
    <w:rsid w:val="00405198"/>
    <w:rsid w:val="00405220"/>
    <w:rsid w:val="00411A81"/>
    <w:rsid w:val="00412A7D"/>
    <w:rsid w:val="004179FD"/>
    <w:rsid w:val="00421157"/>
    <w:rsid w:val="0042474E"/>
    <w:rsid w:val="00425E32"/>
    <w:rsid w:val="00426389"/>
    <w:rsid w:val="00432D7F"/>
    <w:rsid w:val="00436909"/>
    <w:rsid w:val="00437FD0"/>
    <w:rsid w:val="004402AC"/>
    <w:rsid w:val="004403EE"/>
    <w:rsid w:val="00440948"/>
    <w:rsid w:val="004452D5"/>
    <w:rsid w:val="00446AFD"/>
    <w:rsid w:val="00447B87"/>
    <w:rsid w:val="004528AF"/>
    <w:rsid w:val="004536D7"/>
    <w:rsid w:val="004548B0"/>
    <w:rsid w:val="00455FC4"/>
    <w:rsid w:val="00456F88"/>
    <w:rsid w:val="0045725F"/>
    <w:rsid w:val="00457F98"/>
    <w:rsid w:val="00461A55"/>
    <w:rsid w:val="004629E0"/>
    <w:rsid w:val="00470E93"/>
    <w:rsid w:val="004713C2"/>
    <w:rsid w:val="00472F34"/>
    <w:rsid w:val="0047469B"/>
    <w:rsid w:val="00477B3D"/>
    <w:rsid w:val="00482C15"/>
    <w:rsid w:val="004838D9"/>
    <w:rsid w:val="00484822"/>
    <w:rsid w:val="00485D55"/>
    <w:rsid w:val="00490AD4"/>
    <w:rsid w:val="0049409E"/>
    <w:rsid w:val="004A3F30"/>
    <w:rsid w:val="004B22B8"/>
    <w:rsid w:val="004B3E41"/>
    <w:rsid w:val="004B552B"/>
    <w:rsid w:val="004B7C07"/>
    <w:rsid w:val="004C602D"/>
    <w:rsid w:val="004C6CD8"/>
    <w:rsid w:val="004D3013"/>
    <w:rsid w:val="004D36DB"/>
    <w:rsid w:val="004D487C"/>
    <w:rsid w:val="004D5473"/>
    <w:rsid w:val="004D7029"/>
    <w:rsid w:val="004E1B0E"/>
    <w:rsid w:val="004F2363"/>
    <w:rsid w:val="004F2969"/>
    <w:rsid w:val="004F353F"/>
    <w:rsid w:val="004F62CF"/>
    <w:rsid w:val="004F6EA2"/>
    <w:rsid w:val="00502FAD"/>
    <w:rsid w:val="00504F45"/>
    <w:rsid w:val="005064E9"/>
    <w:rsid w:val="005072EE"/>
    <w:rsid w:val="00507DF5"/>
    <w:rsid w:val="005121D2"/>
    <w:rsid w:val="00513C73"/>
    <w:rsid w:val="00513E84"/>
    <w:rsid w:val="005144B0"/>
    <w:rsid w:val="00517918"/>
    <w:rsid w:val="0052385B"/>
    <w:rsid w:val="0052413A"/>
    <w:rsid w:val="00524EA4"/>
    <w:rsid w:val="0052748A"/>
    <w:rsid w:val="0052769A"/>
    <w:rsid w:val="00527D1C"/>
    <w:rsid w:val="00527DE8"/>
    <w:rsid w:val="005324A5"/>
    <w:rsid w:val="005403DB"/>
    <w:rsid w:val="00541A6A"/>
    <w:rsid w:val="00542523"/>
    <w:rsid w:val="00546D71"/>
    <w:rsid w:val="0054791C"/>
    <w:rsid w:val="0055340D"/>
    <w:rsid w:val="0055385D"/>
    <w:rsid w:val="00556497"/>
    <w:rsid w:val="00561640"/>
    <w:rsid w:val="00563CB8"/>
    <w:rsid w:val="00563DC9"/>
    <w:rsid w:val="005641F5"/>
    <w:rsid w:val="00565871"/>
    <w:rsid w:val="00567E85"/>
    <w:rsid w:val="00570901"/>
    <w:rsid w:val="00576E4A"/>
    <w:rsid w:val="0058031D"/>
    <w:rsid w:val="00581401"/>
    <w:rsid w:val="005837C5"/>
    <w:rsid w:val="00583FF7"/>
    <w:rsid w:val="00585771"/>
    <w:rsid w:val="00585A0D"/>
    <w:rsid w:val="00585C89"/>
    <w:rsid w:val="005875D8"/>
    <w:rsid w:val="00592D68"/>
    <w:rsid w:val="00593697"/>
    <w:rsid w:val="00595905"/>
    <w:rsid w:val="005960E3"/>
    <w:rsid w:val="005A7968"/>
    <w:rsid w:val="005B0B12"/>
    <w:rsid w:val="005B22B2"/>
    <w:rsid w:val="005B3D78"/>
    <w:rsid w:val="005B4EB3"/>
    <w:rsid w:val="005B7E6E"/>
    <w:rsid w:val="005C4572"/>
    <w:rsid w:val="005C7B5F"/>
    <w:rsid w:val="005D7C72"/>
    <w:rsid w:val="005E2E87"/>
    <w:rsid w:val="005F147C"/>
    <w:rsid w:val="005F5D35"/>
    <w:rsid w:val="005F657A"/>
    <w:rsid w:val="00600CBE"/>
    <w:rsid w:val="00603970"/>
    <w:rsid w:val="0060448F"/>
    <w:rsid w:val="006044CD"/>
    <w:rsid w:val="00604B8C"/>
    <w:rsid w:val="00607856"/>
    <w:rsid w:val="0061003A"/>
    <w:rsid w:val="006124D5"/>
    <w:rsid w:val="0062277B"/>
    <w:rsid w:val="006261E1"/>
    <w:rsid w:val="00626E4A"/>
    <w:rsid w:val="0063653C"/>
    <w:rsid w:val="006375AF"/>
    <w:rsid w:val="00641DC5"/>
    <w:rsid w:val="00643550"/>
    <w:rsid w:val="006436A9"/>
    <w:rsid w:val="00643E48"/>
    <w:rsid w:val="00644540"/>
    <w:rsid w:val="00645C3F"/>
    <w:rsid w:val="00646088"/>
    <w:rsid w:val="00651092"/>
    <w:rsid w:val="00653ABB"/>
    <w:rsid w:val="00657BCD"/>
    <w:rsid w:val="00660755"/>
    <w:rsid w:val="0066211A"/>
    <w:rsid w:val="00663A00"/>
    <w:rsid w:val="006661AE"/>
    <w:rsid w:val="006667A3"/>
    <w:rsid w:val="0068018C"/>
    <w:rsid w:val="006831FA"/>
    <w:rsid w:val="00687AE0"/>
    <w:rsid w:val="0069247E"/>
    <w:rsid w:val="00696173"/>
    <w:rsid w:val="006A09D6"/>
    <w:rsid w:val="006A3594"/>
    <w:rsid w:val="006B0965"/>
    <w:rsid w:val="006B1161"/>
    <w:rsid w:val="006B61DD"/>
    <w:rsid w:val="006B7CCB"/>
    <w:rsid w:val="006C5E6F"/>
    <w:rsid w:val="006D5208"/>
    <w:rsid w:val="006E38F9"/>
    <w:rsid w:val="006E4C84"/>
    <w:rsid w:val="006E7A67"/>
    <w:rsid w:val="006E7D3C"/>
    <w:rsid w:val="006F3BD7"/>
    <w:rsid w:val="00706F7A"/>
    <w:rsid w:val="00707670"/>
    <w:rsid w:val="0071568E"/>
    <w:rsid w:val="00715BD3"/>
    <w:rsid w:val="007200EC"/>
    <w:rsid w:val="0072440D"/>
    <w:rsid w:val="00724760"/>
    <w:rsid w:val="00730123"/>
    <w:rsid w:val="00730571"/>
    <w:rsid w:val="0073192F"/>
    <w:rsid w:val="00733C74"/>
    <w:rsid w:val="00737EE7"/>
    <w:rsid w:val="00741955"/>
    <w:rsid w:val="00744B69"/>
    <w:rsid w:val="00745BC2"/>
    <w:rsid w:val="00746F1C"/>
    <w:rsid w:val="00760C3C"/>
    <w:rsid w:val="007623AE"/>
    <w:rsid w:val="0076269D"/>
    <w:rsid w:val="00766336"/>
    <w:rsid w:val="0076658E"/>
    <w:rsid w:val="00767641"/>
    <w:rsid w:val="00772135"/>
    <w:rsid w:val="00772FCA"/>
    <w:rsid w:val="0077365A"/>
    <w:rsid w:val="0077398D"/>
    <w:rsid w:val="00777BE4"/>
    <w:rsid w:val="00784E3B"/>
    <w:rsid w:val="007943E1"/>
    <w:rsid w:val="00796D57"/>
    <w:rsid w:val="00797281"/>
    <w:rsid w:val="007B0575"/>
    <w:rsid w:val="007B0EDD"/>
    <w:rsid w:val="007B764B"/>
    <w:rsid w:val="007C14C1"/>
    <w:rsid w:val="007C3355"/>
    <w:rsid w:val="007C7DB0"/>
    <w:rsid w:val="007D1715"/>
    <w:rsid w:val="007D2F12"/>
    <w:rsid w:val="007D3D84"/>
    <w:rsid w:val="007E2BB1"/>
    <w:rsid w:val="007E463A"/>
    <w:rsid w:val="007E4E86"/>
    <w:rsid w:val="007E6233"/>
    <w:rsid w:val="007E6774"/>
    <w:rsid w:val="007E7665"/>
    <w:rsid w:val="007F237A"/>
    <w:rsid w:val="007F76FC"/>
    <w:rsid w:val="00804C62"/>
    <w:rsid w:val="00807C6B"/>
    <w:rsid w:val="008139A0"/>
    <w:rsid w:val="008151E5"/>
    <w:rsid w:val="00820EF9"/>
    <w:rsid w:val="008214C9"/>
    <w:rsid w:val="0082210F"/>
    <w:rsid w:val="008228CD"/>
    <w:rsid w:val="008261D2"/>
    <w:rsid w:val="008266A6"/>
    <w:rsid w:val="00831B4C"/>
    <w:rsid w:val="008336BE"/>
    <w:rsid w:val="008353D6"/>
    <w:rsid w:val="00835495"/>
    <w:rsid w:val="008414A9"/>
    <w:rsid w:val="008434A6"/>
    <w:rsid w:val="0084358E"/>
    <w:rsid w:val="008477CE"/>
    <w:rsid w:val="00847A03"/>
    <w:rsid w:val="00850CE6"/>
    <w:rsid w:val="00853CF3"/>
    <w:rsid w:val="008572B2"/>
    <w:rsid w:val="00860A88"/>
    <w:rsid w:val="00864A80"/>
    <w:rsid w:val="00872393"/>
    <w:rsid w:val="008732CC"/>
    <w:rsid w:val="00874AF4"/>
    <w:rsid w:val="00875D0A"/>
    <w:rsid w:val="00876632"/>
    <w:rsid w:val="00880AAD"/>
    <w:rsid w:val="008814BA"/>
    <w:rsid w:val="00883761"/>
    <w:rsid w:val="008844EE"/>
    <w:rsid w:val="00884AB6"/>
    <w:rsid w:val="008907FE"/>
    <w:rsid w:val="008935E7"/>
    <w:rsid w:val="00893930"/>
    <w:rsid w:val="00893A85"/>
    <w:rsid w:val="00897E18"/>
    <w:rsid w:val="008A0CF9"/>
    <w:rsid w:val="008A0F55"/>
    <w:rsid w:val="008A1774"/>
    <w:rsid w:val="008A2DA8"/>
    <w:rsid w:val="008A3A1E"/>
    <w:rsid w:val="008A5010"/>
    <w:rsid w:val="008A6ACF"/>
    <w:rsid w:val="008A7263"/>
    <w:rsid w:val="008B1311"/>
    <w:rsid w:val="008B31CC"/>
    <w:rsid w:val="008B39BC"/>
    <w:rsid w:val="008B456C"/>
    <w:rsid w:val="008B5DE1"/>
    <w:rsid w:val="008C1826"/>
    <w:rsid w:val="008C7679"/>
    <w:rsid w:val="008D0396"/>
    <w:rsid w:val="008D16C0"/>
    <w:rsid w:val="008D3566"/>
    <w:rsid w:val="008D3BC0"/>
    <w:rsid w:val="008D5D6B"/>
    <w:rsid w:val="008E2674"/>
    <w:rsid w:val="008E2986"/>
    <w:rsid w:val="008F087D"/>
    <w:rsid w:val="009000C9"/>
    <w:rsid w:val="00903656"/>
    <w:rsid w:val="009062ED"/>
    <w:rsid w:val="0090775D"/>
    <w:rsid w:val="00910D8E"/>
    <w:rsid w:val="00912D8D"/>
    <w:rsid w:val="009135A8"/>
    <w:rsid w:val="0091722D"/>
    <w:rsid w:val="00922E34"/>
    <w:rsid w:val="00931BCF"/>
    <w:rsid w:val="00933100"/>
    <w:rsid w:val="009403AD"/>
    <w:rsid w:val="0094277B"/>
    <w:rsid w:val="0095788A"/>
    <w:rsid w:val="00957F4F"/>
    <w:rsid w:val="009602CF"/>
    <w:rsid w:val="00961721"/>
    <w:rsid w:val="0096199D"/>
    <w:rsid w:val="00961A62"/>
    <w:rsid w:val="00962802"/>
    <w:rsid w:val="00963CDE"/>
    <w:rsid w:val="00966D72"/>
    <w:rsid w:val="00967678"/>
    <w:rsid w:val="0097223B"/>
    <w:rsid w:val="009732BA"/>
    <w:rsid w:val="00974AFA"/>
    <w:rsid w:val="0098148A"/>
    <w:rsid w:val="009859E7"/>
    <w:rsid w:val="009A0390"/>
    <w:rsid w:val="009A16B4"/>
    <w:rsid w:val="009A3159"/>
    <w:rsid w:val="009A6796"/>
    <w:rsid w:val="009B0F30"/>
    <w:rsid w:val="009B12D0"/>
    <w:rsid w:val="009B14FE"/>
    <w:rsid w:val="009B35A6"/>
    <w:rsid w:val="009B4FE2"/>
    <w:rsid w:val="009B7417"/>
    <w:rsid w:val="009B7C85"/>
    <w:rsid w:val="009C0391"/>
    <w:rsid w:val="009C2014"/>
    <w:rsid w:val="009C3C09"/>
    <w:rsid w:val="009D0B7A"/>
    <w:rsid w:val="009D12CD"/>
    <w:rsid w:val="009D2572"/>
    <w:rsid w:val="009E05C6"/>
    <w:rsid w:val="009E07D2"/>
    <w:rsid w:val="009E1B9F"/>
    <w:rsid w:val="009E68FF"/>
    <w:rsid w:val="009E734D"/>
    <w:rsid w:val="009F31D9"/>
    <w:rsid w:val="009F3652"/>
    <w:rsid w:val="009F59AB"/>
    <w:rsid w:val="009F65A5"/>
    <w:rsid w:val="00A00907"/>
    <w:rsid w:val="00A0163A"/>
    <w:rsid w:val="00A0284F"/>
    <w:rsid w:val="00A07A4E"/>
    <w:rsid w:val="00A14F0A"/>
    <w:rsid w:val="00A211EF"/>
    <w:rsid w:val="00A24DAB"/>
    <w:rsid w:val="00A253EA"/>
    <w:rsid w:val="00A254F4"/>
    <w:rsid w:val="00A32E00"/>
    <w:rsid w:val="00A34081"/>
    <w:rsid w:val="00A4462B"/>
    <w:rsid w:val="00A4688B"/>
    <w:rsid w:val="00A47C04"/>
    <w:rsid w:val="00A65FF8"/>
    <w:rsid w:val="00A71BB5"/>
    <w:rsid w:val="00A75116"/>
    <w:rsid w:val="00A765A2"/>
    <w:rsid w:val="00A77308"/>
    <w:rsid w:val="00A861D9"/>
    <w:rsid w:val="00A879EB"/>
    <w:rsid w:val="00A908AC"/>
    <w:rsid w:val="00A948B3"/>
    <w:rsid w:val="00A95E92"/>
    <w:rsid w:val="00A968CA"/>
    <w:rsid w:val="00AA0831"/>
    <w:rsid w:val="00AA1DC0"/>
    <w:rsid w:val="00AA5F43"/>
    <w:rsid w:val="00AA6F95"/>
    <w:rsid w:val="00AB5CAD"/>
    <w:rsid w:val="00AC0973"/>
    <w:rsid w:val="00AC1DE5"/>
    <w:rsid w:val="00AC1F67"/>
    <w:rsid w:val="00AC2AB4"/>
    <w:rsid w:val="00AC6562"/>
    <w:rsid w:val="00AC7EE9"/>
    <w:rsid w:val="00AD02DD"/>
    <w:rsid w:val="00AD26BF"/>
    <w:rsid w:val="00AD2E2E"/>
    <w:rsid w:val="00AD440D"/>
    <w:rsid w:val="00AE01CA"/>
    <w:rsid w:val="00AE14E2"/>
    <w:rsid w:val="00AE3076"/>
    <w:rsid w:val="00AF1F26"/>
    <w:rsid w:val="00AF3526"/>
    <w:rsid w:val="00AF4AA1"/>
    <w:rsid w:val="00AF5A63"/>
    <w:rsid w:val="00AF635F"/>
    <w:rsid w:val="00B00346"/>
    <w:rsid w:val="00B01708"/>
    <w:rsid w:val="00B02846"/>
    <w:rsid w:val="00B044E7"/>
    <w:rsid w:val="00B10BF2"/>
    <w:rsid w:val="00B1409A"/>
    <w:rsid w:val="00B205E1"/>
    <w:rsid w:val="00B20B90"/>
    <w:rsid w:val="00B231AA"/>
    <w:rsid w:val="00B23AD5"/>
    <w:rsid w:val="00B27639"/>
    <w:rsid w:val="00B30BF5"/>
    <w:rsid w:val="00B31BA2"/>
    <w:rsid w:val="00B40DF9"/>
    <w:rsid w:val="00B46C45"/>
    <w:rsid w:val="00B5004E"/>
    <w:rsid w:val="00B5282C"/>
    <w:rsid w:val="00B57A9F"/>
    <w:rsid w:val="00B6055F"/>
    <w:rsid w:val="00B6092B"/>
    <w:rsid w:val="00B66DB7"/>
    <w:rsid w:val="00B71188"/>
    <w:rsid w:val="00B7194E"/>
    <w:rsid w:val="00B75489"/>
    <w:rsid w:val="00B76D5E"/>
    <w:rsid w:val="00B80621"/>
    <w:rsid w:val="00BA15C4"/>
    <w:rsid w:val="00BA4548"/>
    <w:rsid w:val="00BA46CB"/>
    <w:rsid w:val="00BA536E"/>
    <w:rsid w:val="00BA6CB2"/>
    <w:rsid w:val="00BA6E05"/>
    <w:rsid w:val="00BA7D7C"/>
    <w:rsid w:val="00BA7F1C"/>
    <w:rsid w:val="00BB27BA"/>
    <w:rsid w:val="00BB3487"/>
    <w:rsid w:val="00BB459A"/>
    <w:rsid w:val="00BB4709"/>
    <w:rsid w:val="00BC1873"/>
    <w:rsid w:val="00BC33F6"/>
    <w:rsid w:val="00BC3880"/>
    <w:rsid w:val="00BC4ADE"/>
    <w:rsid w:val="00BC54A9"/>
    <w:rsid w:val="00BC55AA"/>
    <w:rsid w:val="00BC6AC5"/>
    <w:rsid w:val="00BD0FD5"/>
    <w:rsid w:val="00BD1887"/>
    <w:rsid w:val="00BD28C9"/>
    <w:rsid w:val="00BD2C01"/>
    <w:rsid w:val="00BD7AD4"/>
    <w:rsid w:val="00BD7B6F"/>
    <w:rsid w:val="00BE1675"/>
    <w:rsid w:val="00BE4EBD"/>
    <w:rsid w:val="00BE6EFE"/>
    <w:rsid w:val="00BF6DF5"/>
    <w:rsid w:val="00C00A19"/>
    <w:rsid w:val="00C02E75"/>
    <w:rsid w:val="00C02EC2"/>
    <w:rsid w:val="00C07D88"/>
    <w:rsid w:val="00C151B9"/>
    <w:rsid w:val="00C162DD"/>
    <w:rsid w:val="00C17AF0"/>
    <w:rsid w:val="00C208EA"/>
    <w:rsid w:val="00C2283A"/>
    <w:rsid w:val="00C23055"/>
    <w:rsid w:val="00C252EF"/>
    <w:rsid w:val="00C25C43"/>
    <w:rsid w:val="00C27E34"/>
    <w:rsid w:val="00C34B83"/>
    <w:rsid w:val="00C419B4"/>
    <w:rsid w:val="00C41C01"/>
    <w:rsid w:val="00C424C5"/>
    <w:rsid w:val="00C42C58"/>
    <w:rsid w:val="00C441BE"/>
    <w:rsid w:val="00C446F3"/>
    <w:rsid w:val="00C463E1"/>
    <w:rsid w:val="00C4787C"/>
    <w:rsid w:val="00C5015B"/>
    <w:rsid w:val="00C512D6"/>
    <w:rsid w:val="00C52004"/>
    <w:rsid w:val="00C52FD6"/>
    <w:rsid w:val="00C537D5"/>
    <w:rsid w:val="00C56C07"/>
    <w:rsid w:val="00C56F06"/>
    <w:rsid w:val="00C7162F"/>
    <w:rsid w:val="00C745E1"/>
    <w:rsid w:val="00C82067"/>
    <w:rsid w:val="00C84A4A"/>
    <w:rsid w:val="00C920BB"/>
    <w:rsid w:val="00C9359E"/>
    <w:rsid w:val="00C94AC5"/>
    <w:rsid w:val="00C9623A"/>
    <w:rsid w:val="00CA53F8"/>
    <w:rsid w:val="00CA6CC7"/>
    <w:rsid w:val="00CA6E69"/>
    <w:rsid w:val="00CB4795"/>
    <w:rsid w:val="00CC1BF8"/>
    <w:rsid w:val="00CC2982"/>
    <w:rsid w:val="00CC3C40"/>
    <w:rsid w:val="00CC605E"/>
    <w:rsid w:val="00CC6AD0"/>
    <w:rsid w:val="00CC6E60"/>
    <w:rsid w:val="00CD1A34"/>
    <w:rsid w:val="00CD2996"/>
    <w:rsid w:val="00CD3A81"/>
    <w:rsid w:val="00CD4793"/>
    <w:rsid w:val="00CD61D0"/>
    <w:rsid w:val="00CE0D9A"/>
    <w:rsid w:val="00CE26F1"/>
    <w:rsid w:val="00CE2836"/>
    <w:rsid w:val="00CE35BD"/>
    <w:rsid w:val="00CE5BEA"/>
    <w:rsid w:val="00CE6C54"/>
    <w:rsid w:val="00CF08C2"/>
    <w:rsid w:val="00CF2582"/>
    <w:rsid w:val="00CF2986"/>
    <w:rsid w:val="00CF498D"/>
    <w:rsid w:val="00CF6F85"/>
    <w:rsid w:val="00D031FA"/>
    <w:rsid w:val="00D066C5"/>
    <w:rsid w:val="00D16DFF"/>
    <w:rsid w:val="00D17E2A"/>
    <w:rsid w:val="00D22B12"/>
    <w:rsid w:val="00D2326D"/>
    <w:rsid w:val="00D257AC"/>
    <w:rsid w:val="00D26EF9"/>
    <w:rsid w:val="00D3179C"/>
    <w:rsid w:val="00D31C4D"/>
    <w:rsid w:val="00D3492E"/>
    <w:rsid w:val="00D36C11"/>
    <w:rsid w:val="00D374A9"/>
    <w:rsid w:val="00D41B54"/>
    <w:rsid w:val="00D4259D"/>
    <w:rsid w:val="00D44710"/>
    <w:rsid w:val="00D4700C"/>
    <w:rsid w:val="00D479EE"/>
    <w:rsid w:val="00D52801"/>
    <w:rsid w:val="00D54D4F"/>
    <w:rsid w:val="00D5676B"/>
    <w:rsid w:val="00D56793"/>
    <w:rsid w:val="00D57066"/>
    <w:rsid w:val="00D920A6"/>
    <w:rsid w:val="00D92CD0"/>
    <w:rsid w:val="00D9328F"/>
    <w:rsid w:val="00D94FAB"/>
    <w:rsid w:val="00D95A65"/>
    <w:rsid w:val="00DA030E"/>
    <w:rsid w:val="00DA1FB9"/>
    <w:rsid w:val="00DB34C3"/>
    <w:rsid w:val="00DB3C98"/>
    <w:rsid w:val="00DC0419"/>
    <w:rsid w:val="00DC0591"/>
    <w:rsid w:val="00DC408C"/>
    <w:rsid w:val="00DC7604"/>
    <w:rsid w:val="00DD207B"/>
    <w:rsid w:val="00DD6609"/>
    <w:rsid w:val="00DD6BA0"/>
    <w:rsid w:val="00DD6F05"/>
    <w:rsid w:val="00DF3D1C"/>
    <w:rsid w:val="00DF5111"/>
    <w:rsid w:val="00E0286B"/>
    <w:rsid w:val="00E03EAE"/>
    <w:rsid w:val="00E16070"/>
    <w:rsid w:val="00E17186"/>
    <w:rsid w:val="00E173B3"/>
    <w:rsid w:val="00E223DA"/>
    <w:rsid w:val="00E22A24"/>
    <w:rsid w:val="00E26A26"/>
    <w:rsid w:val="00E31D9D"/>
    <w:rsid w:val="00E3245A"/>
    <w:rsid w:val="00E37D41"/>
    <w:rsid w:val="00E45753"/>
    <w:rsid w:val="00E46711"/>
    <w:rsid w:val="00E53E91"/>
    <w:rsid w:val="00E560AD"/>
    <w:rsid w:val="00E56C25"/>
    <w:rsid w:val="00E6036C"/>
    <w:rsid w:val="00E60525"/>
    <w:rsid w:val="00E618D5"/>
    <w:rsid w:val="00E62BF3"/>
    <w:rsid w:val="00E63363"/>
    <w:rsid w:val="00E63F49"/>
    <w:rsid w:val="00E6588C"/>
    <w:rsid w:val="00E65C14"/>
    <w:rsid w:val="00E7559A"/>
    <w:rsid w:val="00E7754E"/>
    <w:rsid w:val="00E90E2C"/>
    <w:rsid w:val="00E9190E"/>
    <w:rsid w:val="00E93803"/>
    <w:rsid w:val="00E946A0"/>
    <w:rsid w:val="00E95F8C"/>
    <w:rsid w:val="00EA0C17"/>
    <w:rsid w:val="00EA3693"/>
    <w:rsid w:val="00EA44C5"/>
    <w:rsid w:val="00EA74B5"/>
    <w:rsid w:val="00EB07C6"/>
    <w:rsid w:val="00EB376E"/>
    <w:rsid w:val="00EB4655"/>
    <w:rsid w:val="00EB4AAC"/>
    <w:rsid w:val="00EB6D24"/>
    <w:rsid w:val="00EB700F"/>
    <w:rsid w:val="00EB782B"/>
    <w:rsid w:val="00EC15E4"/>
    <w:rsid w:val="00EC1E30"/>
    <w:rsid w:val="00EC20C3"/>
    <w:rsid w:val="00EC238E"/>
    <w:rsid w:val="00EC3F22"/>
    <w:rsid w:val="00ED0044"/>
    <w:rsid w:val="00ED34EC"/>
    <w:rsid w:val="00ED491F"/>
    <w:rsid w:val="00ED6CFC"/>
    <w:rsid w:val="00EE360E"/>
    <w:rsid w:val="00EE5F60"/>
    <w:rsid w:val="00EE66B9"/>
    <w:rsid w:val="00EF0DCC"/>
    <w:rsid w:val="00EF12C5"/>
    <w:rsid w:val="00F07B41"/>
    <w:rsid w:val="00F10E78"/>
    <w:rsid w:val="00F10E87"/>
    <w:rsid w:val="00F12958"/>
    <w:rsid w:val="00F143C7"/>
    <w:rsid w:val="00F21CD9"/>
    <w:rsid w:val="00F25224"/>
    <w:rsid w:val="00F26EC7"/>
    <w:rsid w:val="00F30304"/>
    <w:rsid w:val="00F308FF"/>
    <w:rsid w:val="00F312E6"/>
    <w:rsid w:val="00F355C2"/>
    <w:rsid w:val="00F36D38"/>
    <w:rsid w:val="00F37404"/>
    <w:rsid w:val="00F37F20"/>
    <w:rsid w:val="00F4142C"/>
    <w:rsid w:val="00F41D88"/>
    <w:rsid w:val="00F42AE4"/>
    <w:rsid w:val="00F43401"/>
    <w:rsid w:val="00F43553"/>
    <w:rsid w:val="00F4386A"/>
    <w:rsid w:val="00F44637"/>
    <w:rsid w:val="00F4480D"/>
    <w:rsid w:val="00F4490B"/>
    <w:rsid w:val="00F457A9"/>
    <w:rsid w:val="00F52488"/>
    <w:rsid w:val="00F544D9"/>
    <w:rsid w:val="00F55F78"/>
    <w:rsid w:val="00F57091"/>
    <w:rsid w:val="00F601EF"/>
    <w:rsid w:val="00F60C57"/>
    <w:rsid w:val="00F61CF0"/>
    <w:rsid w:val="00F64807"/>
    <w:rsid w:val="00F6568B"/>
    <w:rsid w:val="00F814D5"/>
    <w:rsid w:val="00F87643"/>
    <w:rsid w:val="00F92CB6"/>
    <w:rsid w:val="00F942C8"/>
    <w:rsid w:val="00FA0A05"/>
    <w:rsid w:val="00FA3204"/>
    <w:rsid w:val="00FA3976"/>
    <w:rsid w:val="00FA4652"/>
    <w:rsid w:val="00FA7017"/>
    <w:rsid w:val="00FB2878"/>
    <w:rsid w:val="00FB5CC8"/>
    <w:rsid w:val="00FB75ED"/>
    <w:rsid w:val="00FC349F"/>
    <w:rsid w:val="00FC714C"/>
    <w:rsid w:val="00FD275D"/>
    <w:rsid w:val="00FD3B84"/>
    <w:rsid w:val="00FD6A91"/>
    <w:rsid w:val="00FD7D29"/>
    <w:rsid w:val="00FE06D2"/>
    <w:rsid w:val="00FE12D4"/>
    <w:rsid w:val="00FE19F4"/>
    <w:rsid w:val="00FE28A3"/>
    <w:rsid w:val="00FE2A44"/>
    <w:rsid w:val="00FE662D"/>
    <w:rsid w:val="00FF02DE"/>
    <w:rsid w:val="00FF1FA1"/>
    <w:rsid w:val="00FF2E19"/>
    <w:rsid w:val="00FF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BE1675"/>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BE1675"/>
    <w:rPr>
      <w:rFonts w:asciiTheme="minorHAnsi" w:eastAsia="Times New Roman" w:hAnsiTheme="minorHAnsi" w:cs="Times New Roman"/>
      <w:b/>
      <w:bCs/>
      <w:i w:val="0"/>
      <w:color w:val="4F81BD"/>
      <w:sz w:val="28"/>
      <w:szCs w:val="26"/>
    </w:rPr>
  </w:style>
  <w:style w:type="paragraph" w:customStyle="1" w:styleId="TA">
    <w:name w:val="*TA*"/>
    <w:link w:val="TAChar"/>
    <w:qFormat/>
    <w:rsid w:val="00BE1675"/>
    <w:pPr>
      <w:spacing w:before="180" w:after="180"/>
    </w:pPr>
    <w:rPr>
      <w:sz w:val="22"/>
      <w:szCs w:val="22"/>
    </w:rPr>
  </w:style>
  <w:style w:type="character" w:customStyle="1" w:styleId="TAChar">
    <w:name w:val="*TA* Char"/>
    <w:basedOn w:val="DefaultParagraphFont"/>
    <w:link w:val="TA"/>
    <w:rsid w:val="00BE1675"/>
    <w:rPr>
      <w:sz w:val="22"/>
      <w:szCs w:val="22"/>
    </w:rPr>
  </w:style>
  <w:style w:type="paragraph" w:customStyle="1" w:styleId="IN">
    <w:name w:val="*IN*"/>
    <w:link w:val="INChar"/>
    <w:qFormat/>
    <w:rsid w:val="00BE1675"/>
    <w:pPr>
      <w:numPr>
        <w:numId w:val="41"/>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BE1675"/>
    <w:pPr>
      <w:numPr>
        <w:numId w:val="40"/>
      </w:numPr>
      <w:spacing w:before="60" w:after="60" w:line="276" w:lineRule="auto"/>
      <w:ind w:left="360"/>
    </w:pPr>
    <w:rPr>
      <w:sz w:val="22"/>
      <w:szCs w:val="22"/>
    </w:rPr>
  </w:style>
  <w:style w:type="character" w:customStyle="1" w:styleId="INChar">
    <w:name w:val="*IN* Char"/>
    <w:basedOn w:val="DefaultParagraphFont"/>
    <w:link w:val="IN"/>
    <w:rsid w:val="00BE1675"/>
    <w:rPr>
      <w:color w:val="4F81BD" w:themeColor="accent1"/>
      <w:sz w:val="22"/>
      <w:szCs w:val="22"/>
    </w:rPr>
  </w:style>
  <w:style w:type="paragraph" w:customStyle="1" w:styleId="NumberedList">
    <w:name w:val="*Numbered List"/>
    <w:link w:val="NumberedListChar"/>
    <w:qFormat/>
    <w:rsid w:val="00BE1675"/>
    <w:pPr>
      <w:numPr>
        <w:numId w:val="43"/>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BE1675"/>
    <w:rPr>
      <w:sz w:val="22"/>
      <w:szCs w:val="22"/>
    </w:rPr>
  </w:style>
  <w:style w:type="paragraph" w:customStyle="1" w:styleId="TableHeaders">
    <w:name w:val="*TableHeaders"/>
    <w:basedOn w:val="Normal"/>
    <w:link w:val="TableHeadersChar"/>
    <w:qFormat/>
    <w:rsid w:val="00BE1675"/>
    <w:pPr>
      <w:spacing w:before="40" w:after="40" w:line="240" w:lineRule="auto"/>
    </w:pPr>
    <w:rPr>
      <w:b/>
      <w:color w:val="FFFFFF" w:themeColor="background1"/>
    </w:rPr>
  </w:style>
  <w:style w:type="character" w:customStyle="1" w:styleId="NumberedListChar">
    <w:name w:val="*Numbered List Char"/>
    <w:basedOn w:val="BulletedListChar"/>
    <w:link w:val="NumberedList"/>
    <w:rsid w:val="00BE1675"/>
    <w:rPr>
      <w:sz w:val="22"/>
      <w:szCs w:val="22"/>
    </w:rPr>
  </w:style>
  <w:style w:type="paragraph" w:customStyle="1" w:styleId="PageHeader">
    <w:name w:val="*PageHeader"/>
    <w:link w:val="PageHeaderChar"/>
    <w:qFormat/>
    <w:rsid w:val="00BE1675"/>
    <w:pPr>
      <w:spacing w:before="120"/>
    </w:pPr>
    <w:rPr>
      <w:rFonts w:cs="Calibri"/>
      <w:b/>
      <w:sz w:val="18"/>
      <w:szCs w:val="22"/>
    </w:rPr>
  </w:style>
  <w:style w:type="character" w:customStyle="1" w:styleId="TableHeadersChar">
    <w:name w:val="*TableHeaders Char"/>
    <w:basedOn w:val="DefaultParagraphFont"/>
    <w:link w:val="TableHeaders"/>
    <w:rsid w:val="00BE1675"/>
    <w:rPr>
      <w:b/>
      <w:color w:val="FFFFFF" w:themeColor="background1"/>
      <w:sz w:val="22"/>
      <w:szCs w:val="22"/>
    </w:rPr>
  </w:style>
  <w:style w:type="paragraph" w:customStyle="1" w:styleId="Q">
    <w:name w:val="*Q*"/>
    <w:link w:val="QChar"/>
    <w:qFormat/>
    <w:rsid w:val="00BE1675"/>
    <w:pPr>
      <w:spacing w:before="240" w:line="276" w:lineRule="auto"/>
    </w:pPr>
    <w:rPr>
      <w:rFonts w:eastAsia="Times New Roman"/>
      <w:b/>
      <w:sz w:val="22"/>
      <w:szCs w:val="22"/>
    </w:rPr>
  </w:style>
  <w:style w:type="character" w:customStyle="1" w:styleId="PageHeaderChar">
    <w:name w:val="*PageHeader Char"/>
    <w:basedOn w:val="BodyTextChar"/>
    <w:link w:val="PageHeader"/>
    <w:rsid w:val="00BE1675"/>
    <w:rPr>
      <w:rFonts w:cs="Calibri"/>
      <w:b/>
      <w:sz w:val="18"/>
      <w:szCs w:val="22"/>
    </w:rPr>
  </w:style>
  <w:style w:type="character" w:customStyle="1" w:styleId="QChar">
    <w:name w:val="*Q* Char"/>
    <w:basedOn w:val="ListParagraphChar"/>
    <w:link w:val="Q"/>
    <w:rsid w:val="00BE1675"/>
    <w:rPr>
      <w:rFonts w:eastAsia="Times New Roman"/>
      <w:b/>
      <w:sz w:val="22"/>
      <w:szCs w:val="22"/>
    </w:rPr>
  </w:style>
  <w:style w:type="paragraph" w:customStyle="1" w:styleId="SASRBullet">
    <w:name w:val="*SA/SR Bullet"/>
    <w:basedOn w:val="Normal"/>
    <w:link w:val="SASRBulletChar"/>
    <w:qFormat/>
    <w:rsid w:val="00BE1675"/>
    <w:pPr>
      <w:numPr>
        <w:ilvl w:val="1"/>
        <w:numId w:val="45"/>
      </w:numPr>
      <w:spacing w:before="120"/>
      <w:ind w:left="1080"/>
      <w:contextualSpacing/>
    </w:pPr>
  </w:style>
  <w:style w:type="paragraph" w:customStyle="1" w:styleId="INBullet">
    <w:name w:val="*IN* Bullet"/>
    <w:link w:val="INBulletChar"/>
    <w:qFormat/>
    <w:rsid w:val="00BE1675"/>
    <w:pPr>
      <w:numPr>
        <w:numId w:val="42"/>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BE1675"/>
    <w:rPr>
      <w:sz w:val="22"/>
      <w:szCs w:val="22"/>
    </w:rPr>
  </w:style>
  <w:style w:type="character" w:customStyle="1" w:styleId="INBulletChar">
    <w:name w:val="*IN* Bullet Char"/>
    <w:basedOn w:val="BulletedListChar"/>
    <w:link w:val="INBullet"/>
    <w:rsid w:val="00BE1675"/>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BE1675"/>
    <w:pPr>
      <w:numPr>
        <w:numId w:val="44"/>
      </w:numPr>
      <w:spacing w:before="120" w:line="276" w:lineRule="auto"/>
    </w:pPr>
    <w:rPr>
      <w:rFonts w:eastAsia="Times New Roman"/>
      <w:sz w:val="22"/>
      <w:szCs w:val="22"/>
    </w:rPr>
  </w:style>
  <w:style w:type="paragraph" w:customStyle="1" w:styleId="SR">
    <w:name w:val="*SR*"/>
    <w:link w:val="SRChar"/>
    <w:qFormat/>
    <w:rsid w:val="00BE1675"/>
    <w:pPr>
      <w:numPr>
        <w:numId w:val="46"/>
      </w:numPr>
      <w:spacing w:before="120" w:line="276" w:lineRule="auto"/>
      <w:ind w:left="720"/>
    </w:pPr>
    <w:rPr>
      <w:rFonts w:eastAsia="Times New Roman"/>
      <w:sz w:val="22"/>
      <w:szCs w:val="22"/>
    </w:rPr>
  </w:style>
  <w:style w:type="character" w:customStyle="1" w:styleId="SAChar">
    <w:name w:val="*SA* Char"/>
    <w:basedOn w:val="ListParagraphChar"/>
    <w:link w:val="SA"/>
    <w:rsid w:val="00BE1675"/>
    <w:rPr>
      <w:rFonts w:eastAsia="Times New Roman"/>
      <w:sz w:val="22"/>
      <w:szCs w:val="22"/>
    </w:rPr>
  </w:style>
  <w:style w:type="character" w:customStyle="1" w:styleId="SRChar">
    <w:name w:val="*SR* Char"/>
    <w:basedOn w:val="ListParagraphChar"/>
    <w:link w:val="SR"/>
    <w:rsid w:val="00BE1675"/>
    <w:rPr>
      <w:rFonts w:eastAsia="Times New Roman"/>
      <w:sz w:val="22"/>
      <w:szCs w:val="22"/>
    </w:rPr>
  </w:style>
  <w:style w:type="paragraph" w:customStyle="1" w:styleId="BR">
    <w:name w:val="*BR*"/>
    <w:link w:val="BRChar"/>
    <w:qFormat/>
    <w:rsid w:val="00BE1675"/>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BE1675"/>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BE1675"/>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BE1675"/>
    <w:rPr>
      <w:rFonts w:ascii="Verdana" w:eastAsia="Verdana" w:hAnsi="Verdana" w:cs="Calibri"/>
      <w:b/>
      <w:color w:val="595959"/>
      <w:sz w:val="14"/>
      <w:szCs w:val="22"/>
    </w:rPr>
  </w:style>
  <w:style w:type="paragraph" w:customStyle="1" w:styleId="TableText">
    <w:name w:val="*TableText"/>
    <w:link w:val="TableTextChar"/>
    <w:qFormat/>
    <w:rsid w:val="00BE1675"/>
    <w:pPr>
      <w:spacing w:before="40" w:after="40" w:line="276" w:lineRule="auto"/>
    </w:pPr>
    <w:rPr>
      <w:sz w:val="22"/>
      <w:szCs w:val="22"/>
    </w:rPr>
  </w:style>
  <w:style w:type="character" w:customStyle="1" w:styleId="TableTextChar">
    <w:name w:val="*TableText Char"/>
    <w:basedOn w:val="DefaultParagraphFont"/>
    <w:link w:val="TableText"/>
    <w:rsid w:val="00BE1675"/>
    <w:rPr>
      <w:sz w:val="22"/>
      <w:szCs w:val="22"/>
    </w:rPr>
  </w:style>
  <w:style w:type="paragraph" w:customStyle="1" w:styleId="ToolHeader">
    <w:name w:val="*ToolHeader"/>
    <w:qFormat/>
    <w:rsid w:val="00BE1675"/>
    <w:pPr>
      <w:spacing w:after="120"/>
    </w:pPr>
    <w:rPr>
      <w:rFonts w:asciiTheme="minorHAnsi" w:hAnsiTheme="minorHAnsi"/>
      <w:b/>
      <w:bCs/>
      <w:color w:val="365F91"/>
      <w:sz w:val="32"/>
      <w:szCs w:val="28"/>
    </w:rPr>
  </w:style>
  <w:style w:type="paragraph" w:customStyle="1" w:styleId="ToolTableText">
    <w:name w:val="*ToolTableText"/>
    <w:qFormat/>
    <w:rsid w:val="00BE1675"/>
    <w:pPr>
      <w:spacing w:before="40" w:after="120"/>
    </w:pPr>
    <w:rPr>
      <w:sz w:val="22"/>
      <w:szCs w:val="22"/>
    </w:rPr>
  </w:style>
  <w:style w:type="paragraph" w:customStyle="1" w:styleId="ExcerptTitle">
    <w:name w:val="*ExcerptTitle"/>
    <w:basedOn w:val="Normal"/>
    <w:link w:val="ExcerptTitleChar"/>
    <w:qFormat/>
    <w:rsid w:val="00BE1675"/>
    <w:pPr>
      <w:jc w:val="center"/>
    </w:pPr>
    <w:rPr>
      <w:rFonts w:asciiTheme="majorHAnsi" w:hAnsiTheme="majorHAnsi"/>
      <w:b/>
      <w:smallCaps/>
      <w:sz w:val="32"/>
    </w:rPr>
  </w:style>
  <w:style w:type="paragraph" w:customStyle="1" w:styleId="ExcerptAuthor">
    <w:name w:val="*ExcerptAuthor"/>
    <w:basedOn w:val="Normal"/>
    <w:link w:val="ExcerptAuthorChar"/>
    <w:qFormat/>
    <w:rsid w:val="00BE1675"/>
    <w:pPr>
      <w:jc w:val="center"/>
    </w:pPr>
    <w:rPr>
      <w:rFonts w:asciiTheme="majorHAnsi" w:hAnsiTheme="majorHAnsi"/>
      <w:b/>
    </w:rPr>
  </w:style>
  <w:style w:type="character" w:customStyle="1" w:styleId="ExcerptTitleChar">
    <w:name w:val="*ExcerptTitle Char"/>
    <w:basedOn w:val="DefaultParagraphFont"/>
    <w:link w:val="ExcerptTitle"/>
    <w:rsid w:val="00BE1675"/>
    <w:rPr>
      <w:rFonts w:asciiTheme="majorHAnsi" w:hAnsiTheme="majorHAnsi"/>
      <w:b/>
      <w:smallCaps/>
      <w:sz w:val="32"/>
      <w:szCs w:val="22"/>
    </w:rPr>
  </w:style>
  <w:style w:type="paragraph" w:customStyle="1" w:styleId="ExcerptBody">
    <w:name w:val="*ExcerptBody"/>
    <w:basedOn w:val="Normal"/>
    <w:link w:val="ExcerptBodyChar"/>
    <w:qFormat/>
    <w:rsid w:val="00BE167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BE1675"/>
    <w:rPr>
      <w:rFonts w:asciiTheme="majorHAnsi" w:hAnsiTheme="majorHAnsi"/>
      <w:b/>
      <w:sz w:val="22"/>
      <w:szCs w:val="22"/>
    </w:rPr>
  </w:style>
  <w:style w:type="character" w:customStyle="1" w:styleId="ExcerptBodyChar">
    <w:name w:val="*ExcerptBody Char"/>
    <w:basedOn w:val="DefaultParagraphFont"/>
    <w:link w:val="ExcerptBody"/>
    <w:rsid w:val="00BE1675"/>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BE1675"/>
    <w:pPr>
      <w:numPr>
        <w:numId w:val="47"/>
      </w:numPr>
    </w:pPr>
  </w:style>
  <w:style w:type="character" w:customStyle="1" w:styleId="SubStandardChar">
    <w:name w:val="*SubStandard Char"/>
    <w:basedOn w:val="TableTextChar"/>
    <w:link w:val="SubStandard"/>
    <w:rsid w:val="00BE1675"/>
    <w:rPr>
      <w:sz w:val="22"/>
      <w:szCs w:val="22"/>
    </w:rPr>
  </w:style>
  <w:style w:type="paragraph" w:customStyle="1" w:styleId="Normal1">
    <w:name w:val="Normal1"/>
    <w:rsid w:val="0032306C"/>
    <w:pPr>
      <w:widowControl w:val="0"/>
    </w:pPr>
    <w:rPr>
      <w:rFonts w:ascii="Cambria" w:eastAsia="Cambria" w:hAnsi="Cambria" w:cs="Cambria"/>
      <w:color w:val="000000"/>
      <w:sz w:val="24"/>
      <w:szCs w:val="22"/>
    </w:rPr>
  </w:style>
  <w:style w:type="character" w:customStyle="1" w:styleId="hwc">
    <w:name w:val="hwc"/>
    <w:basedOn w:val="DefaultParagraphFont"/>
    <w:rsid w:val="009A6796"/>
  </w:style>
  <w:style w:type="paragraph" w:styleId="Revision">
    <w:name w:val="Revision"/>
    <w:hidden/>
    <w:uiPriority w:val="71"/>
    <w:rsid w:val="001F0511"/>
    <w:rPr>
      <w:sz w:val="22"/>
      <w:szCs w:val="22"/>
    </w:rPr>
  </w:style>
  <w:style w:type="paragraph" w:styleId="NoSpacing">
    <w:name w:val="No Spacing"/>
    <w:uiPriority w:val="99"/>
    <w:rsid w:val="00A254F4"/>
    <w:rPr>
      <w:sz w:val="22"/>
      <w:szCs w:val="22"/>
    </w:rPr>
  </w:style>
</w:styles>
</file>

<file path=word/webSettings.xml><?xml version="1.0" encoding="utf-8"?>
<w:webSettings xmlns:r="http://schemas.openxmlformats.org/officeDocument/2006/relationships" xmlns:w="http://schemas.openxmlformats.org/wordprocessingml/2006/main">
  <w:divs>
    <w:div w:id="67919428">
      <w:bodyDiv w:val="1"/>
      <w:marLeft w:val="0"/>
      <w:marRight w:val="0"/>
      <w:marTop w:val="0"/>
      <w:marBottom w:val="0"/>
      <w:divBdr>
        <w:top w:val="none" w:sz="0" w:space="0" w:color="auto"/>
        <w:left w:val="none" w:sz="0" w:space="0" w:color="auto"/>
        <w:bottom w:val="none" w:sz="0" w:space="0" w:color="auto"/>
        <w:right w:val="none" w:sz="0" w:space="0" w:color="auto"/>
      </w:divBdr>
    </w:div>
    <w:div w:id="391393055">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9032357">
      <w:bodyDiv w:val="1"/>
      <w:marLeft w:val="0"/>
      <w:marRight w:val="0"/>
      <w:marTop w:val="0"/>
      <w:marBottom w:val="0"/>
      <w:divBdr>
        <w:top w:val="none" w:sz="0" w:space="0" w:color="auto"/>
        <w:left w:val="none" w:sz="0" w:space="0" w:color="auto"/>
        <w:bottom w:val="none" w:sz="0" w:space="0" w:color="auto"/>
        <w:right w:val="none" w:sz="0" w:space="0" w:color="auto"/>
      </w:divBdr>
    </w:div>
    <w:div w:id="168316197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3/04/25/opinion/bangladesh-factory-collapse-opin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A332-7525-46D1-AE1A-36947EA1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19860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2014-04-04T16:33:00Z</dcterms:created>
  <dcterms:modified xsi:type="dcterms:W3CDTF">2014-04-04T16:33:00Z</dcterms:modified>
</cp:coreProperties>
</file>