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15"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677A89" w14:paraId="256D06E2" w14:textId="77777777" w:rsidTr="002806F0">
        <w:trPr>
          <w:trHeight w:val="1008"/>
        </w:trPr>
        <w:tc>
          <w:tcPr>
            <w:tcW w:w="1980" w:type="dxa"/>
            <w:tcBorders>
              <w:top w:val="nil"/>
            </w:tcBorders>
            <w:shd w:val="clear" w:color="auto" w:fill="403152"/>
            <w:vAlign w:val="center"/>
          </w:tcPr>
          <w:p w14:paraId="2CB1C16F" w14:textId="77777777" w:rsidR="00CC183D" w:rsidRPr="004E20B8" w:rsidRDefault="00BB196E" w:rsidP="00E75803">
            <w:pPr>
              <w:pStyle w:val="Header-banner"/>
              <w:rPr>
                <w:rFonts w:ascii="Calibri" w:hAnsi="Calibri"/>
              </w:rPr>
            </w:pPr>
            <w:r>
              <w:rPr>
                <w:rFonts w:ascii="Calibri" w:hAnsi="Calibri"/>
              </w:rPr>
              <w:t>9.1</w:t>
            </w:r>
            <w:r w:rsidR="00CC183D" w:rsidRPr="004E20B8">
              <w:rPr>
                <w:rFonts w:ascii="Calibri" w:hAnsi="Calibri"/>
              </w:rPr>
              <w:t>.</w:t>
            </w:r>
            <w:r>
              <w:rPr>
                <w:rFonts w:ascii="Calibri" w:hAnsi="Calibri"/>
              </w:rPr>
              <w:t>2</w:t>
            </w:r>
          </w:p>
        </w:tc>
        <w:tc>
          <w:tcPr>
            <w:tcW w:w="7470" w:type="dxa"/>
            <w:tcBorders>
              <w:top w:val="nil"/>
            </w:tcBorders>
            <w:shd w:val="clear" w:color="auto" w:fill="5F497A"/>
            <w:vAlign w:val="center"/>
          </w:tcPr>
          <w:p w14:paraId="3A568D07" w14:textId="77777777"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14:paraId="40DA4893" w14:textId="77777777" w:rsidTr="002806F0">
        <w:trPr>
          <w:trHeight w:val="720"/>
        </w:trPr>
        <w:tc>
          <w:tcPr>
            <w:tcW w:w="9450" w:type="dxa"/>
            <w:gridSpan w:val="2"/>
            <w:tcBorders>
              <w:bottom w:val="single" w:sz="8" w:space="0" w:color="403152"/>
            </w:tcBorders>
            <w:shd w:val="solid" w:color="F2F2F2" w:fill="auto"/>
            <w:vAlign w:val="center"/>
          </w:tcPr>
          <w:p w14:paraId="62ADCE90" w14:textId="4FCD3594" w:rsidR="00CC183D" w:rsidRPr="00714725" w:rsidRDefault="00CC183D" w:rsidP="005E1BC1">
            <w:pPr>
              <w:pStyle w:val="Heading1nospace"/>
              <w:spacing w:before="60" w:after="0" w:line="240" w:lineRule="auto"/>
              <w:rPr>
                <w:rFonts w:eastAsia="Times New Roman" w:cs="Cambria"/>
                <w:bCs/>
                <w:color w:val="403152"/>
                <w:lang w:val="en-US"/>
              </w:rPr>
            </w:pPr>
            <w:r w:rsidRPr="00714725">
              <w:rPr>
                <w:rFonts w:eastAsia="Times New Roman" w:cs="Cambria"/>
                <w:bCs/>
                <w:lang w:val="en-US"/>
              </w:rPr>
              <w:t>“</w:t>
            </w:r>
            <w:r w:rsidR="00BB100F">
              <w:rPr>
                <w:rFonts w:eastAsia="Times New Roman" w:cs="Cambria"/>
                <w:bCs/>
                <w:lang w:val="en-US"/>
              </w:rPr>
              <w:t>[T]</w:t>
            </w:r>
            <w:r w:rsidR="00AD5D2F">
              <w:rPr>
                <w:rFonts w:eastAsia="Times New Roman" w:cs="Cambria"/>
                <w:bCs/>
                <w:lang w:val="en-US"/>
              </w:rPr>
              <w:t>he</w:t>
            </w:r>
            <w:r w:rsidR="00BB196E">
              <w:rPr>
                <w:rFonts w:eastAsia="Times New Roman" w:cs="Cambria"/>
                <w:bCs/>
                <w:lang w:val="en-US"/>
              </w:rPr>
              <w:t xml:space="preserve"> jewel beyond </w:t>
            </w:r>
            <w:r w:rsidR="00DD60D9">
              <w:rPr>
                <w:rFonts w:eastAsia="Times New Roman" w:cs="Cambria"/>
                <w:bCs/>
                <w:lang w:val="en-US"/>
              </w:rPr>
              <w:t xml:space="preserve">all </w:t>
            </w:r>
            <w:r w:rsidR="003C06B5">
              <w:rPr>
                <w:rFonts w:eastAsia="Times New Roman" w:cs="Cambria"/>
                <w:bCs/>
                <w:lang w:val="en-US"/>
              </w:rPr>
              <w:t>price</w:t>
            </w:r>
            <w:r w:rsidR="00BB196E">
              <w:rPr>
                <w:rFonts w:eastAsia="Times New Roman" w:cs="Cambria"/>
                <w:bCs/>
                <w:lang w:val="en-US"/>
              </w:rPr>
              <w:t>”</w:t>
            </w:r>
          </w:p>
        </w:tc>
      </w:tr>
      <w:tr w:rsidR="00CC183D" w:rsidRPr="00061D2A" w14:paraId="626A8453" w14:textId="77777777" w:rsidTr="002806F0">
        <w:trPr>
          <w:trHeight w:val="576"/>
        </w:trPr>
        <w:tc>
          <w:tcPr>
            <w:tcW w:w="1980" w:type="dxa"/>
            <w:tcBorders>
              <w:top w:val="single" w:sz="8" w:space="0" w:color="403152"/>
              <w:bottom w:val="single" w:sz="8" w:space="0" w:color="403152"/>
            </w:tcBorders>
            <w:shd w:val="solid" w:color="F2F2F2" w:fill="auto"/>
            <w:vAlign w:val="center"/>
          </w:tcPr>
          <w:p w14:paraId="111EF636" w14:textId="77777777" w:rsidR="00CC183D" w:rsidRPr="004528EF" w:rsidRDefault="00CC183D" w:rsidP="00CC183D">
            <w:pPr>
              <w:rPr>
                <w:b/>
                <w:color w:val="1F497D"/>
              </w:rPr>
            </w:pPr>
            <w:r w:rsidRPr="004528EF">
              <w:rPr>
                <w:b/>
                <w:color w:val="1F497D"/>
              </w:rPr>
              <w:t>Text</w:t>
            </w:r>
          </w:p>
        </w:tc>
        <w:tc>
          <w:tcPr>
            <w:tcW w:w="7470" w:type="dxa"/>
            <w:tcBorders>
              <w:top w:val="single" w:sz="8" w:space="0" w:color="403152"/>
              <w:bottom w:val="single" w:sz="8" w:space="0" w:color="403152"/>
            </w:tcBorders>
            <w:shd w:val="solid" w:color="F2F2F2" w:fill="auto"/>
            <w:vAlign w:val="center"/>
          </w:tcPr>
          <w:p w14:paraId="6BD8420B" w14:textId="77777777" w:rsidR="00CC183D" w:rsidRPr="00BB196E" w:rsidRDefault="00BB196E" w:rsidP="00CC183D">
            <w:r>
              <w:rPr>
                <w:i/>
              </w:rPr>
              <w:t>Letters to a Young Poet</w:t>
            </w:r>
            <w:r>
              <w:t xml:space="preserve"> by Rainer Maria Rilke, </w:t>
            </w:r>
            <w:r>
              <w:rPr>
                <w:i/>
              </w:rPr>
              <w:t>Black Swan Green</w:t>
            </w:r>
            <w:r>
              <w:t xml:space="preserve"> by David Mitchell</w:t>
            </w:r>
          </w:p>
        </w:tc>
      </w:tr>
      <w:tr w:rsidR="00CC183D" w:rsidRPr="00061D2A" w14:paraId="20D5130F" w14:textId="77777777" w:rsidTr="002806F0">
        <w:trPr>
          <w:trHeight w:val="576"/>
        </w:trPr>
        <w:tc>
          <w:tcPr>
            <w:tcW w:w="1980" w:type="dxa"/>
            <w:tcBorders>
              <w:top w:val="single" w:sz="8" w:space="0" w:color="403152"/>
              <w:bottom w:val="nil"/>
            </w:tcBorders>
            <w:shd w:val="solid" w:color="F2F2F2" w:fill="auto"/>
            <w:vAlign w:val="center"/>
          </w:tcPr>
          <w:p w14:paraId="2B634663" w14:textId="77777777" w:rsidR="00CC183D" w:rsidRPr="004528EF" w:rsidRDefault="00CC183D" w:rsidP="00CC183D">
            <w:pPr>
              <w:rPr>
                <w:b/>
                <w:color w:val="1F497D"/>
              </w:rPr>
            </w:pPr>
            <w:r w:rsidRPr="004528EF">
              <w:rPr>
                <w:b/>
                <w:color w:val="1F497D"/>
              </w:rPr>
              <w:t>Number of Lessons in Unit</w:t>
            </w:r>
          </w:p>
        </w:tc>
        <w:tc>
          <w:tcPr>
            <w:tcW w:w="7470" w:type="dxa"/>
            <w:tcBorders>
              <w:top w:val="single" w:sz="8" w:space="0" w:color="403152"/>
              <w:bottom w:val="nil"/>
            </w:tcBorders>
            <w:shd w:val="solid" w:color="F2F2F2" w:fill="auto"/>
            <w:vAlign w:val="center"/>
          </w:tcPr>
          <w:p w14:paraId="1A8FFC77" w14:textId="77777777" w:rsidR="00CC183D" w:rsidRPr="00061D2A" w:rsidRDefault="00BB196E" w:rsidP="00CC183D">
            <w:r>
              <w:t xml:space="preserve">11 </w:t>
            </w:r>
          </w:p>
        </w:tc>
      </w:tr>
    </w:tbl>
    <w:p w14:paraId="2948F846" w14:textId="77777777" w:rsidR="00CC183D" w:rsidRPr="0015083C" w:rsidRDefault="00CC183D" w:rsidP="0015083C">
      <w:pPr>
        <w:pStyle w:val="Heading1"/>
      </w:pPr>
      <w:r w:rsidRPr="0015083C">
        <w:t>Introduction</w:t>
      </w:r>
    </w:p>
    <w:p w14:paraId="6F695664" w14:textId="69E96E5F" w:rsidR="00BB196E" w:rsidRDefault="00BB196E" w:rsidP="00CC183D">
      <w:r>
        <w:t xml:space="preserve">In this unit, students continue to develop the skills, practices, and routines </w:t>
      </w:r>
      <w:r w:rsidR="00737188">
        <w:t xml:space="preserve">to which they were introduced in </w:t>
      </w:r>
      <w:r w:rsidR="00136348">
        <w:t>9.1.1</w:t>
      </w:r>
      <w:r>
        <w:t>. St</w:t>
      </w:r>
      <w:r w:rsidRPr="00677A89">
        <w:t xml:space="preserve">udents </w:t>
      </w:r>
      <w:r w:rsidR="00737188">
        <w:t xml:space="preserve">continue to practice reading closely and annotating texts </w:t>
      </w:r>
      <w:r>
        <w:t xml:space="preserve">as they examine Rilke’s </w:t>
      </w:r>
      <w:r>
        <w:rPr>
          <w:i/>
        </w:rPr>
        <w:t>Letters to a Young Poet</w:t>
      </w:r>
      <w:r>
        <w:t xml:space="preserve"> and Mitchell’s </w:t>
      </w:r>
      <w:r>
        <w:rPr>
          <w:i/>
        </w:rPr>
        <w:t>Black Swan Green.</w:t>
      </w:r>
      <w:r>
        <w:t xml:space="preserve"> </w:t>
      </w:r>
      <w:r w:rsidR="00737188">
        <w:t>Students also continue their work with evidence-based writing and collaborative discussion.</w:t>
      </w:r>
    </w:p>
    <w:p w14:paraId="372426AD" w14:textId="0FCEB6E5" w:rsidR="00D7036D" w:rsidRDefault="00737188" w:rsidP="00CC183D">
      <w:r>
        <w:t>Throughout this unit, s</w:t>
      </w:r>
      <w:r w:rsidR="00CC183D" w:rsidRPr="00677A89">
        <w:t xml:space="preserve">tudents analyze how </w:t>
      </w:r>
      <w:r w:rsidR="00BB196E">
        <w:t>Rilke and Mitchell each</w:t>
      </w:r>
      <w:r w:rsidR="00CC183D" w:rsidRPr="00677A89">
        <w:t xml:space="preserve"> develop central </w:t>
      </w:r>
      <w:r w:rsidR="00CC183D">
        <w:t>idea</w:t>
      </w:r>
      <w:r w:rsidR="001D2E0D">
        <w:t>s</w:t>
      </w:r>
      <w:r w:rsidR="00BB196E">
        <w:t xml:space="preserve"> such as the </w:t>
      </w:r>
      <w:r>
        <w:t xml:space="preserve">meaning </w:t>
      </w:r>
      <w:r w:rsidR="00BB196E">
        <w:t>of beauty and individual identity vs. group identification</w:t>
      </w:r>
      <w:r w:rsidR="00CC183D">
        <w:t xml:space="preserve">. Students read and analyze </w:t>
      </w:r>
      <w:r w:rsidR="00AD5D2F">
        <w:t>“</w:t>
      </w:r>
      <w:r w:rsidR="00D7036D">
        <w:t>Letter One</w:t>
      </w:r>
      <w:r w:rsidR="00AD5D2F">
        <w:t>”</w:t>
      </w:r>
      <w:r w:rsidR="0028287D">
        <w:t xml:space="preserve"> from </w:t>
      </w:r>
      <w:r w:rsidR="0028287D">
        <w:rPr>
          <w:i/>
        </w:rPr>
        <w:t xml:space="preserve">Letters to a Young Poet </w:t>
      </w:r>
      <w:r w:rsidR="00D7036D">
        <w:t xml:space="preserve">and analyze how Rilke develops the central ideas of the </w:t>
      </w:r>
      <w:r w:rsidR="00977963">
        <w:t>meaning of beauty and individual identity versus group identification</w:t>
      </w:r>
      <w:r w:rsidR="00D7036D">
        <w:t xml:space="preserve">. Students also read </w:t>
      </w:r>
      <w:r w:rsidR="00136348">
        <w:t xml:space="preserve">excerpts of the chapters </w:t>
      </w:r>
      <w:r w:rsidR="00101D07">
        <w:t>“Hangman” and “Solarium”</w:t>
      </w:r>
      <w:r w:rsidR="00D7036D">
        <w:t xml:space="preserve"> from </w:t>
      </w:r>
      <w:r w:rsidR="00D7036D">
        <w:rPr>
          <w:i/>
        </w:rPr>
        <w:t xml:space="preserve">Black Swan Green </w:t>
      </w:r>
      <w:r w:rsidR="00D7036D">
        <w:t xml:space="preserve">and </w:t>
      </w:r>
      <w:r w:rsidR="00136348">
        <w:t xml:space="preserve">consider </w:t>
      </w:r>
      <w:r w:rsidR="00D7036D">
        <w:t xml:space="preserve">how Mitchell develops and refines the central idea of the meaning of beauty through interactions between Jason Taylor and Madame </w:t>
      </w:r>
      <w:proofErr w:type="spellStart"/>
      <w:r w:rsidR="00D7036D">
        <w:t>Crommelynck</w:t>
      </w:r>
      <w:proofErr w:type="spellEnd"/>
      <w:r w:rsidR="00D7036D">
        <w:t>.</w:t>
      </w:r>
      <w:r w:rsidR="00CC183D">
        <w:t xml:space="preserve"> </w:t>
      </w:r>
    </w:p>
    <w:p w14:paraId="00EC8781" w14:textId="46BEF777" w:rsidR="00CC183D" w:rsidRDefault="00D7036D" w:rsidP="00CC183D">
      <w:r w:rsidRPr="00D8077C">
        <w:t xml:space="preserve">There </w:t>
      </w:r>
      <w:r>
        <w:t>are two formal assessments in this unit.</w:t>
      </w:r>
      <w:r w:rsidRPr="00D8077C">
        <w:t xml:space="preserve"> </w:t>
      </w:r>
      <w:r>
        <w:t xml:space="preserve">The Mid-Unit Assessment asks students to analyze the impact of Rilke’s specific word choices on the meaning and tone of </w:t>
      </w:r>
      <w:r w:rsidR="00136348">
        <w:t>“</w:t>
      </w:r>
      <w:r>
        <w:t>Letter One.</w:t>
      </w:r>
      <w:r w:rsidR="00136348">
        <w:t>”</w:t>
      </w:r>
      <w:r>
        <w:t xml:space="preserve"> </w:t>
      </w:r>
      <w:r w:rsidR="00CC183D">
        <w:t xml:space="preserve">The </w:t>
      </w:r>
      <w:r w:rsidR="00CC183D" w:rsidRPr="00D8077C">
        <w:rPr>
          <w:rFonts w:cs="Calibri"/>
          <w:color w:val="000000"/>
        </w:rPr>
        <w:t>End-</w:t>
      </w:r>
      <w:r w:rsidR="00CC183D">
        <w:rPr>
          <w:rFonts w:cs="Calibri"/>
          <w:color w:val="000000"/>
        </w:rPr>
        <w:t xml:space="preserve">of-Unit Assessment asks students to </w:t>
      </w:r>
      <w:r>
        <w:rPr>
          <w:rFonts w:cs="Calibri"/>
          <w:color w:val="000000"/>
        </w:rPr>
        <w:t xml:space="preserve">identify similar central ideas in </w:t>
      </w:r>
      <w:r>
        <w:rPr>
          <w:rFonts w:cs="Calibri"/>
          <w:i/>
          <w:color w:val="000000"/>
        </w:rPr>
        <w:t>Letters to a Young Poet</w:t>
      </w:r>
      <w:r>
        <w:rPr>
          <w:rFonts w:cs="Calibri"/>
          <w:color w:val="000000"/>
        </w:rPr>
        <w:t xml:space="preserve"> and </w:t>
      </w:r>
      <w:r w:rsidR="00A46456">
        <w:rPr>
          <w:rFonts w:cs="Calibri"/>
          <w:i/>
          <w:color w:val="000000"/>
        </w:rPr>
        <w:t>Black Swan</w:t>
      </w:r>
      <w:r>
        <w:rPr>
          <w:rFonts w:cs="Calibri"/>
          <w:i/>
          <w:color w:val="000000"/>
        </w:rPr>
        <w:t xml:space="preserve"> Green</w:t>
      </w:r>
      <w:r>
        <w:rPr>
          <w:rFonts w:cs="Calibri"/>
          <w:color w:val="000000"/>
        </w:rPr>
        <w:t xml:space="preserve"> and analyze how Rilke and Mitchell develop these central ideas. To scaffold to this End-of-Unit </w:t>
      </w:r>
      <w:r w:rsidR="00B80785">
        <w:rPr>
          <w:rFonts w:cs="Calibri"/>
          <w:color w:val="000000"/>
        </w:rPr>
        <w:t>A</w:t>
      </w:r>
      <w:r>
        <w:rPr>
          <w:rFonts w:cs="Calibri"/>
          <w:color w:val="000000"/>
        </w:rPr>
        <w:t>ssessment, students complete the Central Idea</w:t>
      </w:r>
      <w:r w:rsidR="00B80785">
        <w:rPr>
          <w:rFonts w:cs="Calibri"/>
          <w:color w:val="000000"/>
        </w:rPr>
        <w:t>s</w:t>
      </w:r>
      <w:r>
        <w:rPr>
          <w:rFonts w:cs="Calibri"/>
          <w:color w:val="000000"/>
        </w:rPr>
        <w:t xml:space="preserve"> Tracking Tool throughout their reading of the texts.</w:t>
      </w:r>
      <w:r w:rsidR="00CC183D">
        <w:rPr>
          <w:rFonts w:cs="Calibri"/>
          <w:color w:val="000000"/>
        </w:rPr>
        <w:t xml:space="preserve"> </w:t>
      </w:r>
    </w:p>
    <w:p w14:paraId="0D170C60" w14:textId="77777777" w:rsidR="00CC183D" w:rsidRDefault="00CC183D" w:rsidP="00CC183D">
      <w:pPr>
        <w:pStyle w:val="Heading1"/>
      </w:pPr>
      <w:r>
        <w:t>Literacy Skills and Habits</w:t>
      </w:r>
    </w:p>
    <w:p w14:paraId="48426E4E" w14:textId="77777777" w:rsidR="00D7036D" w:rsidRPr="003539A7" w:rsidRDefault="00D7036D" w:rsidP="00D7036D">
      <w:pPr>
        <w:pStyle w:val="BulletedList"/>
      </w:pPr>
      <w:r w:rsidRPr="003539A7">
        <w:t>Read closely for textual details</w:t>
      </w:r>
    </w:p>
    <w:p w14:paraId="378E8ADA" w14:textId="77777777" w:rsidR="00D7036D" w:rsidRPr="003539A7" w:rsidRDefault="00D7036D" w:rsidP="00D7036D">
      <w:pPr>
        <w:pStyle w:val="BulletedList"/>
      </w:pPr>
      <w:r w:rsidRPr="003539A7">
        <w:t>Annotate texts to support comprehension and analysis</w:t>
      </w:r>
    </w:p>
    <w:p w14:paraId="7271AD8D" w14:textId="52801CF9" w:rsidR="00D7036D" w:rsidRDefault="00D7036D" w:rsidP="00D7036D">
      <w:pPr>
        <w:pStyle w:val="BulletedList"/>
      </w:pPr>
      <w:r w:rsidRPr="003539A7">
        <w:lastRenderedPageBreak/>
        <w:t>Engage in productive evidence-base</w:t>
      </w:r>
      <w:r>
        <w:t>d conversations about text</w:t>
      </w:r>
    </w:p>
    <w:p w14:paraId="0E1BEAB2" w14:textId="17E45241" w:rsidR="00D7036D" w:rsidRDefault="00D7036D" w:rsidP="00D7036D">
      <w:pPr>
        <w:pStyle w:val="BulletedList"/>
      </w:pPr>
      <w:r w:rsidRPr="003539A7">
        <w:t>Determine meaning</w:t>
      </w:r>
      <w:r w:rsidR="00B80785">
        <w:t>s</w:t>
      </w:r>
      <w:r w:rsidRPr="003539A7">
        <w:t xml:space="preserve"> of unknown vocabulary</w:t>
      </w:r>
    </w:p>
    <w:p w14:paraId="60075480" w14:textId="77777777" w:rsidR="00D7036D" w:rsidRDefault="00D7036D" w:rsidP="00D7036D">
      <w:pPr>
        <w:pStyle w:val="BulletedList"/>
      </w:pPr>
      <w:r>
        <w:t>Independently preview text in preparation for supported analysis</w:t>
      </w:r>
    </w:p>
    <w:p w14:paraId="35E1E70A" w14:textId="77777777" w:rsidR="00D7036D" w:rsidRPr="003539A7" w:rsidRDefault="00D7036D" w:rsidP="00D7036D">
      <w:pPr>
        <w:pStyle w:val="BulletedList"/>
      </w:pPr>
      <w:r w:rsidRPr="003539A7">
        <w:t>Paraphrase and quote relevant evidence from a text</w:t>
      </w:r>
    </w:p>
    <w:p w14:paraId="36694167" w14:textId="77777777" w:rsidR="00CC183D" w:rsidRDefault="00CC183D" w:rsidP="00CC183D">
      <w:pPr>
        <w:pStyle w:val="Heading1"/>
      </w:pPr>
      <w:r>
        <w:t>Standards for This Unit</w:t>
      </w: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22"/>
        <w:gridCol w:w="52"/>
        <w:gridCol w:w="21"/>
        <w:gridCol w:w="8075"/>
      </w:tblGrid>
      <w:tr w:rsidR="00E75803" w:rsidRPr="00401E53" w14:paraId="1008AF5D" w14:textId="77777777" w:rsidTr="002806F0">
        <w:tc>
          <w:tcPr>
            <w:tcW w:w="9470" w:type="dxa"/>
            <w:gridSpan w:val="4"/>
            <w:shd w:val="clear" w:color="auto" w:fill="5F497A"/>
          </w:tcPr>
          <w:p w14:paraId="7EFECCED" w14:textId="77777777" w:rsidR="00E75803" w:rsidRPr="00714725" w:rsidRDefault="00E75803" w:rsidP="00401E53">
            <w:pPr>
              <w:pStyle w:val="TableHeaders"/>
              <w:rPr>
                <w:lang w:val="en-US" w:eastAsia="en-US"/>
              </w:rPr>
            </w:pPr>
            <w:r w:rsidRPr="00E75803">
              <w:rPr>
                <w:lang w:val="en-US" w:eastAsia="en-US"/>
              </w:rPr>
              <w:t>College and Career Readiness Anchor Standards for Reading</w:t>
            </w:r>
          </w:p>
        </w:tc>
      </w:tr>
      <w:tr w:rsidR="00E75803" w:rsidRPr="00E75803" w14:paraId="4C4741CE" w14:textId="77777777" w:rsidTr="002806F0">
        <w:tc>
          <w:tcPr>
            <w:tcW w:w="1322" w:type="dxa"/>
            <w:shd w:val="clear" w:color="auto" w:fill="auto"/>
          </w:tcPr>
          <w:p w14:paraId="383C41A7" w14:textId="683F44FF" w:rsidR="00E75803" w:rsidRPr="008006FF" w:rsidRDefault="008006FF" w:rsidP="00401E53">
            <w:pPr>
              <w:pStyle w:val="TableHeaders"/>
              <w:rPr>
                <w:color w:val="auto"/>
                <w:lang w:val="en-US" w:eastAsia="en-US"/>
              </w:rPr>
            </w:pPr>
            <w:r w:rsidRPr="009675C5">
              <w:rPr>
                <w:color w:val="auto"/>
                <w:lang w:val="en-US" w:eastAsia="en-US"/>
              </w:rPr>
              <w:t>CCRA.R.9</w:t>
            </w:r>
          </w:p>
        </w:tc>
        <w:tc>
          <w:tcPr>
            <w:tcW w:w="8148" w:type="dxa"/>
            <w:gridSpan w:val="3"/>
            <w:shd w:val="clear" w:color="auto" w:fill="auto"/>
          </w:tcPr>
          <w:p w14:paraId="35F67DDC" w14:textId="0532D9E6" w:rsidR="00E75803" w:rsidRPr="008006FF" w:rsidRDefault="008006FF" w:rsidP="00F61E99">
            <w:pPr>
              <w:pStyle w:val="TableText"/>
              <w:rPr>
                <w:b/>
              </w:rPr>
            </w:pPr>
            <w:r w:rsidRPr="008006FF">
              <w:rPr>
                <w:b/>
              </w:rPr>
              <w:t>Analyze how two or more texts address similar themes or topics in order to build knowledge or to compare th</w:t>
            </w:r>
            <w:r w:rsidR="00A82D14">
              <w:rPr>
                <w:b/>
              </w:rPr>
              <w:t>e approaches the authors take.</w:t>
            </w:r>
          </w:p>
        </w:tc>
      </w:tr>
      <w:tr w:rsidR="00CC183D" w:rsidRPr="00401E53" w14:paraId="5390E07A" w14:textId="77777777" w:rsidTr="002806F0">
        <w:tc>
          <w:tcPr>
            <w:tcW w:w="9470" w:type="dxa"/>
            <w:gridSpan w:val="4"/>
            <w:shd w:val="clear" w:color="auto" w:fill="5F497A"/>
          </w:tcPr>
          <w:p w14:paraId="000ED1BD" w14:textId="77777777" w:rsidR="00CC183D" w:rsidRPr="00714725" w:rsidRDefault="00CC183D" w:rsidP="00401E53">
            <w:pPr>
              <w:pStyle w:val="TableHeaders"/>
              <w:rPr>
                <w:lang w:val="en-US" w:eastAsia="en-US"/>
              </w:rPr>
            </w:pPr>
            <w:r w:rsidRPr="00714725">
              <w:rPr>
                <w:lang w:val="en-US" w:eastAsia="en-US"/>
              </w:rPr>
              <w:t>CCS Standards: Reading — Literature</w:t>
            </w:r>
          </w:p>
        </w:tc>
      </w:tr>
      <w:tr w:rsidR="00CC183D" w:rsidRPr="00677A89" w14:paraId="0C9F7969" w14:textId="77777777" w:rsidTr="002806F0">
        <w:tc>
          <w:tcPr>
            <w:tcW w:w="1374" w:type="dxa"/>
            <w:gridSpan w:val="2"/>
          </w:tcPr>
          <w:p w14:paraId="78009796" w14:textId="0F6C8544" w:rsidR="00CC183D" w:rsidRPr="009675C5" w:rsidRDefault="008006FF" w:rsidP="001B2DAB">
            <w:pPr>
              <w:pStyle w:val="TableText"/>
              <w:rPr>
                <w:b/>
              </w:rPr>
            </w:pPr>
            <w:r w:rsidRPr="009675C5">
              <w:rPr>
                <w:b/>
              </w:rPr>
              <w:t>RL.9-10.2</w:t>
            </w:r>
          </w:p>
        </w:tc>
        <w:tc>
          <w:tcPr>
            <w:tcW w:w="8096" w:type="dxa"/>
            <w:gridSpan w:val="2"/>
          </w:tcPr>
          <w:p w14:paraId="49C45937" w14:textId="6450357B" w:rsidR="00CC183D" w:rsidRPr="0037345D" w:rsidRDefault="008006FF" w:rsidP="00E75803">
            <w:pPr>
              <w:pStyle w:val="TableText"/>
              <w:rPr>
                <w:b/>
                <w:lang w:eastAsia="ja-JP"/>
              </w:rPr>
            </w:pPr>
            <w:r w:rsidRPr="0037345D">
              <w:rPr>
                <w:b/>
              </w:rPr>
              <w:t>Determine a theme or central idea of a text and analyze in detail its development over the course of the text, including how it emerges and is shaped and refined by specific details; provide an objective summary of the text.</w:t>
            </w:r>
          </w:p>
        </w:tc>
      </w:tr>
      <w:tr w:rsidR="00CC183D" w:rsidRPr="0015083C" w14:paraId="55790DC4" w14:textId="77777777" w:rsidTr="002806F0">
        <w:tc>
          <w:tcPr>
            <w:tcW w:w="1374" w:type="dxa"/>
            <w:gridSpan w:val="2"/>
          </w:tcPr>
          <w:p w14:paraId="5D01703C" w14:textId="35CB8536" w:rsidR="00CC183D" w:rsidRPr="009675C5" w:rsidRDefault="008006FF" w:rsidP="0015083C">
            <w:pPr>
              <w:pStyle w:val="TableText"/>
              <w:rPr>
                <w:b/>
              </w:rPr>
            </w:pPr>
            <w:r w:rsidRPr="009675C5">
              <w:rPr>
                <w:b/>
              </w:rPr>
              <w:t>RL.9-10.3</w:t>
            </w:r>
          </w:p>
        </w:tc>
        <w:tc>
          <w:tcPr>
            <w:tcW w:w="8096" w:type="dxa"/>
            <w:gridSpan w:val="2"/>
          </w:tcPr>
          <w:p w14:paraId="1B3B8564" w14:textId="7CB36AF0" w:rsidR="00CC183D" w:rsidRPr="0037345D" w:rsidRDefault="008006FF" w:rsidP="007A12D1">
            <w:pPr>
              <w:pStyle w:val="TableText"/>
              <w:rPr>
                <w:b/>
                <w:bCs/>
              </w:rPr>
            </w:pPr>
            <w:r w:rsidRPr="0037345D">
              <w:rPr>
                <w:b/>
              </w:rPr>
              <w:t>Analyze how complex characters (e.g., those with multiple or conflicting motivations) develop over the course of a text, interact with other characters, and advance the plot or develop the theme.</w:t>
            </w:r>
          </w:p>
        </w:tc>
      </w:tr>
      <w:tr w:rsidR="008006FF" w:rsidRPr="0015083C" w14:paraId="03A09208" w14:textId="77777777" w:rsidTr="002806F0">
        <w:tc>
          <w:tcPr>
            <w:tcW w:w="1374" w:type="dxa"/>
            <w:gridSpan w:val="2"/>
          </w:tcPr>
          <w:p w14:paraId="36F93FDF" w14:textId="420EF0AF" w:rsidR="008006FF" w:rsidRPr="009675C5" w:rsidRDefault="008006FF" w:rsidP="0015083C">
            <w:pPr>
              <w:pStyle w:val="TableText"/>
              <w:rPr>
                <w:b/>
              </w:rPr>
            </w:pPr>
            <w:r w:rsidRPr="009675C5">
              <w:rPr>
                <w:b/>
              </w:rPr>
              <w:t>RL.9-10.4</w:t>
            </w:r>
          </w:p>
        </w:tc>
        <w:tc>
          <w:tcPr>
            <w:tcW w:w="8096" w:type="dxa"/>
            <w:gridSpan w:val="2"/>
          </w:tcPr>
          <w:p w14:paraId="13140F6D" w14:textId="1B379DAD" w:rsidR="008006FF" w:rsidRPr="0037345D" w:rsidRDefault="0037345D" w:rsidP="007A12D1">
            <w:pPr>
              <w:pStyle w:val="TableText"/>
              <w:rPr>
                <w:b/>
                <w:bCs/>
              </w:rPr>
            </w:pPr>
            <w:r w:rsidRPr="0037345D">
              <w:rPr>
                <w:b/>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926A39" w:rsidRPr="00401E53" w14:paraId="6CB5D3B3" w14:textId="77777777" w:rsidTr="002806F0">
        <w:trPr>
          <w:trHeight w:val="120"/>
        </w:trPr>
        <w:tc>
          <w:tcPr>
            <w:tcW w:w="9470" w:type="dxa"/>
            <w:gridSpan w:val="4"/>
            <w:shd w:val="clear" w:color="auto" w:fill="5F497A"/>
          </w:tcPr>
          <w:p w14:paraId="2011FA23" w14:textId="77777777" w:rsidR="00926A39" w:rsidRPr="00714725" w:rsidRDefault="00926A39" w:rsidP="00401E53">
            <w:pPr>
              <w:pStyle w:val="TableHeaders"/>
              <w:rPr>
                <w:lang w:val="en-US" w:eastAsia="en-US"/>
              </w:rPr>
            </w:pPr>
            <w:r>
              <w:rPr>
                <w:lang w:val="en-US" w:eastAsia="en-US"/>
              </w:rPr>
              <w:t>CCS Standards: Reading — Informational Text</w:t>
            </w:r>
          </w:p>
        </w:tc>
      </w:tr>
      <w:tr w:rsidR="00092A63" w:rsidRPr="0037345D" w14:paraId="1875C10C" w14:textId="77777777" w:rsidTr="002806F0">
        <w:tc>
          <w:tcPr>
            <w:tcW w:w="1374" w:type="dxa"/>
            <w:gridSpan w:val="2"/>
          </w:tcPr>
          <w:p w14:paraId="2C428413" w14:textId="77777777" w:rsidR="00092A63" w:rsidRPr="009675C5" w:rsidRDefault="00092A63" w:rsidP="00A320DA">
            <w:pPr>
              <w:pStyle w:val="TableText"/>
              <w:rPr>
                <w:b/>
              </w:rPr>
            </w:pPr>
            <w:r w:rsidRPr="009675C5">
              <w:rPr>
                <w:b/>
              </w:rPr>
              <w:t>RI.9-10.2</w:t>
            </w:r>
          </w:p>
        </w:tc>
        <w:tc>
          <w:tcPr>
            <w:tcW w:w="8096" w:type="dxa"/>
            <w:gridSpan w:val="2"/>
          </w:tcPr>
          <w:p w14:paraId="0ED18F5E" w14:textId="0B677391" w:rsidR="00092A63" w:rsidRPr="0037345D" w:rsidRDefault="00A143C6" w:rsidP="00A143C6">
            <w:pPr>
              <w:pStyle w:val="TableText"/>
              <w:rPr>
                <w:b/>
              </w:rPr>
            </w:pPr>
            <w:r w:rsidRPr="00A143C6">
              <w:rPr>
                <w:b/>
              </w:rPr>
              <w:t>Determine a central idea of a text and analyze its development over the course of the text, including how it emerges and is shaped and refined by specific details; provide an objective summary of the text.</w:t>
            </w:r>
          </w:p>
        </w:tc>
      </w:tr>
      <w:tr w:rsidR="00092A63" w:rsidRPr="0037345D" w14:paraId="064D66B1" w14:textId="77777777" w:rsidTr="002806F0">
        <w:tc>
          <w:tcPr>
            <w:tcW w:w="1374" w:type="dxa"/>
            <w:gridSpan w:val="2"/>
          </w:tcPr>
          <w:p w14:paraId="787BB02A" w14:textId="77777777" w:rsidR="00092A63" w:rsidRPr="009675C5" w:rsidRDefault="00092A63" w:rsidP="00A320DA">
            <w:pPr>
              <w:pStyle w:val="TableText"/>
              <w:rPr>
                <w:b/>
              </w:rPr>
            </w:pPr>
            <w:r w:rsidRPr="009675C5">
              <w:rPr>
                <w:b/>
              </w:rPr>
              <w:t>RI.9-10.3</w:t>
            </w:r>
          </w:p>
        </w:tc>
        <w:tc>
          <w:tcPr>
            <w:tcW w:w="8096" w:type="dxa"/>
            <w:gridSpan w:val="2"/>
          </w:tcPr>
          <w:p w14:paraId="3C222E0C" w14:textId="163941F9" w:rsidR="00092A63" w:rsidRPr="0037345D" w:rsidRDefault="00092A63" w:rsidP="00A320DA">
            <w:pPr>
              <w:pStyle w:val="TableText"/>
              <w:rPr>
                <w:b/>
              </w:rPr>
            </w:pPr>
            <w:r w:rsidRPr="0037345D">
              <w:rPr>
                <w:b/>
              </w:rPr>
              <w:t xml:space="preserve">Analyze how the author unfolds an analysis or series of ideas or events, including the order in which the points are made, how they are introduced and developed, and the connections </w:t>
            </w:r>
            <w:r w:rsidR="00A143C6">
              <w:rPr>
                <w:b/>
              </w:rPr>
              <w:t xml:space="preserve">that are </w:t>
            </w:r>
            <w:r w:rsidRPr="0037345D">
              <w:rPr>
                <w:b/>
              </w:rPr>
              <w:t>drawn between them.</w:t>
            </w:r>
          </w:p>
        </w:tc>
      </w:tr>
      <w:tr w:rsidR="00092A63" w:rsidRPr="0037345D" w14:paraId="157CBCFD" w14:textId="77777777" w:rsidTr="002806F0">
        <w:tc>
          <w:tcPr>
            <w:tcW w:w="1374" w:type="dxa"/>
            <w:gridSpan w:val="2"/>
          </w:tcPr>
          <w:p w14:paraId="62695017" w14:textId="77777777" w:rsidR="00092A63" w:rsidRPr="0037345D" w:rsidRDefault="00092A63" w:rsidP="00A320DA">
            <w:pPr>
              <w:pStyle w:val="TableText"/>
              <w:rPr>
                <w:b/>
              </w:rPr>
            </w:pPr>
            <w:r w:rsidRPr="00092A63">
              <w:rPr>
                <w:b/>
              </w:rPr>
              <w:t>RI.9-10.4</w:t>
            </w:r>
          </w:p>
        </w:tc>
        <w:tc>
          <w:tcPr>
            <w:tcW w:w="8096" w:type="dxa"/>
            <w:gridSpan w:val="2"/>
          </w:tcPr>
          <w:p w14:paraId="7D32809B" w14:textId="31F5BADD" w:rsidR="00092A63" w:rsidRPr="0037345D" w:rsidRDefault="00A143C6" w:rsidP="00A143C6">
            <w:pPr>
              <w:pStyle w:val="TableText"/>
              <w:rPr>
                <w:b/>
              </w:rPr>
            </w:pPr>
            <w:r w:rsidRPr="00A143C6">
              <w:rPr>
                <w:b/>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CC183D" w:rsidRPr="00401E53" w14:paraId="62E263C9" w14:textId="77777777" w:rsidTr="002806F0">
        <w:trPr>
          <w:trHeight w:val="120"/>
        </w:trPr>
        <w:tc>
          <w:tcPr>
            <w:tcW w:w="9470" w:type="dxa"/>
            <w:gridSpan w:val="4"/>
            <w:shd w:val="clear" w:color="auto" w:fill="5F497A"/>
          </w:tcPr>
          <w:p w14:paraId="168762B4" w14:textId="77777777" w:rsidR="00CC183D" w:rsidRPr="00714725" w:rsidRDefault="00285B7F" w:rsidP="0044382D">
            <w:pPr>
              <w:pStyle w:val="TableHeaders"/>
              <w:keepNext/>
              <w:rPr>
                <w:lang w:val="en-US" w:eastAsia="en-US"/>
              </w:rPr>
            </w:pPr>
            <w:r w:rsidRPr="00714725">
              <w:rPr>
                <w:lang w:val="en-US" w:eastAsia="en-US"/>
              </w:rPr>
              <w:br w:type="page"/>
            </w:r>
            <w:r w:rsidR="00CC183D" w:rsidRPr="00714725">
              <w:rPr>
                <w:lang w:val="en-US" w:eastAsia="en-US"/>
              </w:rPr>
              <w:t>CCS Standards: Writing</w:t>
            </w:r>
          </w:p>
        </w:tc>
      </w:tr>
      <w:tr w:rsidR="00CC183D" w:rsidRPr="007A12D1" w14:paraId="5600FC34" w14:textId="77777777" w:rsidTr="002806F0">
        <w:tc>
          <w:tcPr>
            <w:tcW w:w="1374" w:type="dxa"/>
            <w:gridSpan w:val="2"/>
          </w:tcPr>
          <w:p w14:paraId="221B1267" w14:textId="324BE609" w:rsidR="00CC183D" w:rsidRPr="0044382D" w:rsidRDefault="0037345D" w:rsidP="007A12D1">
            <w:pPr>
              <w:pStyle w:val="TableText"/>
              <w:rPr>
                <w:b/>
                <w:spacing w:val="-4"/>
              </w:rPr>
            </w:pPr>
            <w:r w:rsidRPr="0044382D">
              <w:rPr>
                <w:b/>
                <w:spacing w:val="-4"/>
              </w:rPr>
              <w:t>W.9-10.2.a, f</w:t>
            </w:r>
          </w:p>
        </w:tc>
        <w:tc>
          <w:tcPr>
            <w:tcW w:w="8096" w:type="dxa"/>
            <w:gridSpan w:val="2"/>
          </w:tcPr>
          <w:p w14:paraId="20C96EAA" w14:textId="77777777" w:rsidR="0037345D" w:rsidRPr="0037345D" w:rsidRDefault="0037345D" w:rsidP="0037345D">
            <w:pPr>
              <w:pStyle w:val="TableText"/>
              <w:rPr>
                <w:b/>
              </w:rPr>
            </w:pPr>
            <w:r w:rsidRPr="0037345D">
              <w:rPr>
                <w:b/>
              </w:rPr>
              <w:t xml:space="preserve">Write informative/explanatory texts to examine and convey complex ideas, concepts, </w:t>
            </w:r>
            <w:r w:rsidRPr="0037345D">
              <w:rPr>
                <w:b/>
              </w:rPr>
              <w:lastRenderedPageBreak/>
              <w:t>and information clearly and accurately through the effective selection, organization, and analysis of content.</w:t>
            </w:r>
          </w:p>
          <w:p w14:paraId="6AA741E0" w14:textId="77777777" w:rsidR="0037345D" w:rsidRPr="00C269D0" w:rsidRDefault="0037345D" w:rsidP="00C269D0">
            <w:pPr>
              <w:pStyle w:val="SubStandard"/>
              <w:rPr>
                <w:rFonts w:ascii="Times" w:hAnsi="Times"/>
                <w:b/>
                <w:sz w:val="20"/>
                <w:szCs w:val="20"/>
                <w:lang w:eastAsia="fr-FR"/>
              </w:rPr>
            </w:pPr>
            <w:r w:rsidRPr="00C269D0">
              <w:rPr>
                <w:b/>
                <w:lang w:eastAsia="fr-FR"/>
              </w:rPr>
              <w:t xml:space="preserve">Introduce a topic; organize complex ideas, concepts, and information to make important connections and distinctions; include formatting (e.g., headings), </w:t>
            </w:r>
            <w:r w:rsidRPr="00C269D0">
              <w:rPr>
                <w:b/>
                <w:spacing w:val="-2"/>
                <w:lang w:eastAsia="fr-FR"/>
              </w:rPr>
              <w:t>graphics (e.g., figures, tables), and multimedia when useful to aiding comprehension</w:t>
            </w:r>
            <w:r w:rsidRPr="00C269D0">
              <w:rPr>
                <w:b/>
                <w:lang w:eastAsia="fr-FR"/>
              </w:rPr>
              <w:t>.</w:t>
            </w:r>
          </w:p>
          <w:p w14:paraId="039DC0FA" w14:textId="2D973193" w:rsidR="00C46F19" w:rsidRPr="00426E6D" w:rsidRDefault="0037345D" w:rsidP="00426E6D">
            <w:pPr>
              <w:pStyle w:val="SubStandard"/>
              <w:numPr>
                <w:ilvl w:val="0"/>
                <w:numId w:val="30"/>
              </w:numPr>
              <w:rPr>
                <w:b/>
              </w:rPr>
            </w:pPr>
            <w:r w:rsidRPr="00426E6D">
              <w:rPr>
                <w:b/>
                <w:lang w:eastAsia="fr-FR"/>
              </w:rPr>
              <w:t>Provide a concluding statement or section that follows from and supports the information or explanation presented (e.g., articulating implications or the significance of the topic).</w:t>
            </w:r>
          </w:p>
        </w:tc>
      </w:tr>
      <w:tr w:rsidR="00CC183D" w:rsidRPr="00401E53" w14:paraId="4B652427" w14:textId="77777777" w:rsidTr="002806F0">
        <w:tc>
          <w:tcPr>
            <w:tcW w:w="9470" w:type="dxa"/>
            <w:gridSpan w:val="4"/>
            <w:shd w:val="clear" w:color="auto" w:fill="5F497A"/>
          </w:tcPr>
          <w:p w14:paraId="75013BEF" w14:textId="77777777" w:rsidR="00CC183D" w:rsidRPr="009675C5" w:rsidRDefault="00CC183D" w:rsidP="00401E53">
            <w:pPr>
              <w:pStyle w:val="TableHeaders"/>
              <w:rPr>
                <w:lang w:val="en-US" w:eastAsia="en-US"/>
              </w:rPr>
            </w:pPr>
            <w:r w:rsidRPr="009675C5">
              <w:rPr>
                <w:lang w:val="en-US" w:eastAsia="en-US"/>
              </w:rPr>
              <w:lastRenderedPageBreak/>
              <w:t>CCS Standards: Speaking &amp; Listening</w:t>
            </w:r>
          </w:p>
        </w:tc>
      </w:tr>
      <w:tr w:rsidR="00CC183D" w:rsidRPr="005E59CC" w14:paraId="2653D234" w14:textId="77777777" w:rsidTr="002806F0">
        <w:tc>
          <w:tcPr>
            <w:tcW w:w="1395" w:type="dxa"/>
            <w:gridSpan w:val="3"/>
          </w:tcPr>
          <w:p w14:paraId="0228CE67" w14:textId="2A1215B0" w:rsidR="00CC183D" w:rsidRPr="0044382D" w:rsidRDefault="008006FF" w:rsidP="005E59CC">
            <w:pPr>
              <w:pStyle w:val="TableText"/>
              <w:rPr>
                <w:spacing w:val="-2"/>
              </w:rPr>
            </w:pPr>
            <w:r w:rsidRPr="0044382D">
              <w:rPr>
                <w:spacing w:val="-2"/>
              </w:rPr>
              <w:t>SL.9-10.1.b</w:t>
            </w:r>
            <w:r w:rsidR="006C611A" w:rsidRPr="0044382D">
              <w:rPr>
                <w:spacing w:val="-2"/>
              </w:rPr>
              <w:t xml:space="preserve">, </w:t>
            </w:r>
            <w:r w:rsidRPr="0044382D">
              <w:rPr>
                <w:spacing w:val="-2"/>
              </w:rPr>
              <w:t>c</w:t>
            </w:r>
          </w:p>
        </w:tc>
        <w:tc>
          <w:tcPr>
            <w:tcW w:w="8075" w:type="dxa"/>
          </w:tcPr>
          <w:p w14:paraId="0A1B1782" w14:textId="77777777" w:rsidR="008006FF" w:rsidRPr="008006FF" w:rsidRDefault="008006FF" w:rsidP="008006FF">
            <w:pPr>
              <w:pStyle w:val="TableText"/>
            </w:pPr>
            <w:r w:rsidRPr="008006FF">
              <w:t xml:space="preserve">Initiate and participate effectively in a range of collaborative discussions (one-on-one, in groups, and teacher-led) with diverse partners on </w:t>
            </w:r>
            <w:r w:rsidRPr="008006FF">
              <w:rPr>
                <w:i/>
              </w:rPr>
              <w:t>grades 9–10 topics, texts, and issues</w:t>
            </w:r>
            <w:r w:rsidRPr="008006FF">
              <w:t>, building on others’ ideas and expressing their own clearly and persuasively.</w:t>
            </w:r>
          </w:p>
          <w:p w14:paraId="4C618894" w14:textId="77777777" w:rsidR="008006FF" w:rsidRPr="008006FF" w:rsidRDefault="008006FF" w:rsidP="00426E6D">
            <w:pPr>
              <w:pStyle w:val="SubStandard"/>
              <w:numPr>
                <w:ilvl w:val="0"/>
                <w:numId w:val="34"/>
              </w:numPr>
            </w:pPr>
            <w:r w:rsidRPr="008006FF">
              <w:t xml:space="preserve">Work with peers to set rules for collegial discussions and decision-making (e.g., informal consensus, taking votes on key issues, </w:t>
            </w:r>
            <w:proofErr w:type="gramStart"/>
            <w:r w:rsidRPr="008006FF">
              <w:t>presentation</w:t>
            </w:r>
            <w:proofErr w:type="gramEnd"/>
            <w:r w:rsidRPr="008006FF">
              <w:t xml:space="preserve"> of alternate views), clear goals and deadlines, and individual roles as needed.</w:t>
            </w:r>
          </w:p>
          <w:p w14:paraId="7282FDE9" w14:textId="54C17200" w:rsidR="00CC183D" w:rsidRPr="008006FF" w:rsidDel="001047F1" w:rsidRDefault="008006FF" w:rsidP="008006FF">
            <w:pPr>
              <w:pStyle w:val="SubStandard"/>
              <w:rPr>
                <w:lang w:eastAsia="ja-JP"/>
              </w:rPr>
            </w:pPr>
            <w:r w:rsidRPr="008006FF">
              <w:t>Propel conversations by posing and responding to questions that relate the current discussion to broader themes or larger ideas; actively incorporate others into the discussion; and clarify, verify, or challenge ideas and conclusions.</w:t>
            </w:r>
          </w:p>
        </w:tc>
      </w:tr>
      <w:tr w:rsidR="00CC183D" w:rsidRPr="007A12D1" w14:paraId="265975F5" w14:textId="77777777" w:rsidTr="002806F0">
        <w:tc>
          <w:tcPr>
            <w:tcW w:w="9470" w:type="dxa"/>
            <w:gridSpan w:val="4"/>
            <w:shd w:val="clear" w:color="auto" w:fill="5F497A"/>
          </w:tcPr>
          <w:p w14:paraId="78B3D759" w14:textId="4D122478" w:rsidR="00CC183D" w:rsidRPr="00714725" w:rsidRDefault="00CC183D" w:rsidP="007A12D1">
            <w:pPr>
              <w:pStyle w:val="TableHeaders"/>
              <w:rPr>
                <w:lang w:val="en-US" w:eastAsia="en-US"/>
              </w:rPr>
            </w:pPr>
            <w:r w:rsidRPr="00714725">
              <w:rPr>
                <w:lang w:val="en-US" w:eastAsia="en-US"/>
              </w:rPr>
              <w:t>CCS Standards: Language</w:t>
            </w:r>
          </w:p>
        </w:tc>
      </w:tr>
      <w:tr w:rsidR="008006FF" w:rsidRPr="00677A89" w14:paraId="0DC96234" w14:textId="77777777" w:rsidTr="002806F0">
        <w:tc>
          <w:tcPr>
            <w:tcW w:w="1395" w:type="dxa"/>
            <w:gridSpan w:val="3"/>
            <w:tcMar>
              <w:top w:w="100" w:type="dxa"/>
              <w:left w:w="108" w:type="dxa"/>
              <w:bottom w:w="100" w:type="dxa"/>
              <w:right w:w="108" w:type="dxa"/>
            </w:tcMar>
          </w:tcPr>
          <w:p w14:paraId="3A3233C5" w14:textId="4E6ECC76" w:rsidR="008006FF" w:rsidRPr="009675C5" w:rsidRDefault="008006FF" w:rsidP="007A12D1">
            <w:pPr>
              <w:pStyle w:val="TableText"/>
              <w:rPr>
                <w:spacing w:val="-4"/>
              </w:rPr>
            </w:pPr>
            <w:r w:rsidRPr="009675C5">
              <w:rPr>
                <w:spacing w:val="-4"/>
              </w:rPr>
              <w:t>L.9-10.4.a, b</w:t>
            </w:r>
          </w:p>
        </w:tc>
        <w:tc>
          <w:tcPr>
            <w:tcW w:w="8075" w:type="dxa"/>
          </w:tcPr>
          <w:p w14:paraId="381EC3C6" w14:textId="77777777" w:rsidR="008006FF" w:rsidRPr="00B94450" w:rsidRDefault="008006FF" w:rsidP="008006FF">
            <w:pPr>
              <w:pStyle w:val="TableText"/>
            </w:pPr>
            <w:r w:rsidRPr="00B94450">
              <w:t xml:space="preserve">Determine or clarify the meaning of unknown and multiple-meaning words and phrases based on </w:t>
            </w:r>
            <w:r w:rsidRPr="00B94450">
              <w:rPr>
                <w:i/>
              </w:rPr>
              <w:t>grades 9–10 reading and content</w:t>
            </w:r>
            <w:r w:rsidRPr="00B94450">
              <w:t>, choosing flexibly from a range of strategies.</w:t>
            </w:r>
          </w:p>
          <w:p w14:paraId="0BA69C51" w14:textId="77777777" w:rsidR="008006FF" w:rsidRDefault="008006FF" w:rsidP="00426E6D">
            <w:pPr>
              <w:pStyle w:val="SubStandard"/>
              <w:numPr>
                <w:ilvl w:val="0"/>
                <w:numId w:val="36"/>
              </w:numPr>
            </w:pPr>
            <w:r w:rsidRPr="00B94450">
              <w:t>Use context (e.g., the overall meaning of a sentence, paragraph, or text; a word’s position or function in a sentence) as a clue to the meaning of a word or phrase.</w:t>
            </w:r>
          </w:p>
          <w:p w14:paraId="32F8CC7B" w14:textId="0C86ABFE" w:rsidR="008006FF" w:rsidRPr="00BA6344" w:rsidRDefault="008006FF" w:rsidP="008006FF">
            <w:pPr>
              <w:pStyle w:val="SubStandard"/>
            </w:pPr>
            <w:r>
              <w:t xml:space="preserve">Identify and correctly use patterns of word changes that indicate different meanings of parts of speech (e.g., </w:t>
            </w:r>
            <w:r>
              <w:rPr>
                <w:i/>
              </w:rPr>
              <w:t>analyze, analysis, analytic</w:t>
            </w:r>
            <w:r w:rsidR="00B42625">
              <w:rPr>
                <w:i/>
              </w:rPr>
              <w:t>al</w:t>
            </w:r>
            <w:r>
              <w:rPr>
                <w:i/>
              </w:rPr>
              <w:t>; advocate, advocacy</w:t>
            </w:r>
            <w:r>
              <w:t>).</w:t>
            </w:r>
          </w:p>
        </w:tc>
      </w:tr>
      <w:tr w:rsidR="00CC183D" w:rsidRPr="00677A89" w14:paraId="15ADCB06" w14:textId="77777777" w:rsidTr="002806F0">
        <w:tc>
          <w:tcPr>
            <w:tcW w:w="1395" w:type="dxa"/>
            <w:gridSpan w:val="3"/>
            <w:tcMar>
              <w:top w:w="100" w:type="dxa"/>
              <w:left w:w="108" w:type="dxa"/>
              <w:bottom w:w="100" w:type="dxa"/>
              <w:right w:w="108" w:type="dxa"/>
            </w:tcMar>
          </w:tcPr>
          <w:p w14:paraId="510EFEF6" w14:textId="123BBE54" w:rsidR="00CC183D" w:rsidRPr="009675C5" w:rsidRDefault="008006FF" w:rsidP="007A12D1">
            <w:pPr>
              <w:pStyle w:val="TableText"/>
              <w:rPr>
                <w:b/>
                <w:spacing w:val="-4"/>
              </w:rPr>
            </w:pPr>
            <w:r w:rsidRPr="009675C5">
              <w:rPr>
                <w:b/>
                <w:spacing w:val="-4"/>
              </w:rPr>
              <w:t>L.9-10.5.a</w:t>
            </w:r>
          </w:p>
        </w:tc>
        <w:tc>
          <w:tcPr>
            <w:tcW w:w="8075" w:type="dxa"/>
          </w:tcPr>
          <w:p w14:paraId="7096D722" w14:textId="77777777" w:rsidR="008006FF" w:rsidRPr="008006FF" w:rsidRDefault="008006FF" w:rsidP="008006FF">
            <w:pPr>
              <w:pStyle w:val="TableText"/>
              <w:rPr>
                <w:b/>
              </w:rPr>
            </w:pPr>
            <w:r w:rsidRPr="008006FF">
              <w:rPr>
                <w:b/>
              </w:rPr>
              <w:t>Demonstrate understanding of figurative language, word relationships, and nuances in word meanings.</w:t>
            </w:r>
          </w:p>
          <w:p w14:paraId="4757FDBB" w14:textId="65C8393F" w:rsidR="00CC183D" w:rsidRPr="00426E6D" w:rsidRDefault="008006FF" w:rsidP="00426E6D">
            <w:pPr>
              <w:pStyle w:val="SubStandard"/>
              <w:numPr>
                <w:ilvl w:val="0"/>
                <w:numId w:val="38"/>
              </w:numPr>
              <w:rPr>
                <w:b/>
              </w:rPr>
            </w:pPr>
            <w:r w:rsidRPr="00426E6D">
              <w:rPr>
                <w:b/>
              </w:rPr>
              <w:t>Interpret figures of speech (e.g., euphemism, oxymoron) in context and analyze their role in the text.</w:t>
            </w:r>
          </w:p>
        </w:tc>
      </w:tr>
    </w:tbl>
    <w:p w14:paraId="475261B9" w14:textId="77777777" w:rsidR="00CC183D" w:rsidRPr="007A12D1" w:rsidRDefault="00CC183D" w:rsidP="00CC183D">
      <w:pPr>
        <w:rPr>
          <w:sz w:val="20"/>
        </w:rPr>
      </w:pPr>
      <w:r w:rsidRPr="007A12D1">
        <w:rPr>
          <w:b/>
          <w:sz w:val="20"/>
        </w:rPr>
        <w:t>Note:</w:t>
      </w:r>
      <w:r w:rsidRPr="007A12D1">
        <w:rPr>
          <w:sz w:val="20"/>
        </w:rPr>
        <w:t xml:space="preserve"> Bold text indicates targeted standards that will be assessed in the unit.</w:t>
      </w:r>
    </w:p>
    <w:p w14:paraId="57EDA9CD" w14:textId="7AA083BB" w:rsidR="003355FF" w:rsidRDefault="00CC183D" w:rsidP="003355FF">
      <w:pPr>
        <w:pStyle w:val="Heading1"/>
      </w:pPr>
      <w:r>
        <w:lastRenderedPageBreak/>
        <w:t>Unit Assessments</w:t>
      </w:r>
    </w:p>
    <w:tbl>
      <w:tblPr>
        <w:tblW w:w="94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653"/>
      </w:tblGrid>
      <w:tr w:rsidR="003355FF" w14:paraId="7D3323C7" w14:textId="77777777" w:rsidTr="002806F0">
        <w:tc>
          <w:tcPr>
            <w:tcW w:w="9445" w:type="dxa"/>
            <w:gridSpan w:val="2"/>
            <w:shd w:val="clear" w:color="auto" w:fill="5F497A"/>
          </w:tcPr>
          <w:p w14:paraId="1F00CFDD" w14:textId="711CD198" w:rsidR="003355FF" w:rsidRPr="00CF2D29" w:rsidRDefault="006C611A" w:rsidP="003355FF">
            <w:pPr>
              <w:rPr>
                <w:b/>
                <w:color w:val="FFFFFF"/>
              </w:rPr>
            </w:pPr>
            <w:r w:rsidRPr="00CF2D29">
              <w:rPr>
                <w:b/>
                <w:color w:val="FFFFFF"/>
              </w:rPr>
              <w:t>Ongoing Assessment</w:t>
            </w:r>
          </w:p>
        </w:tc>
      </w:tr>
      <w:tr w:rsidR="003355FF" w14:paraId="0A075F5C" w14:textId="77777777" w:rsidTr="002806F0">
        <w:tc>
          <w:tcPr>
            <w:tcW w:w="1792" w:type="dxa"/>
            <w:shd w:val="clear" w:color="auto" w:fill="auto"/>
          </w:tcPr>
          <w:p w14:paraId="2DF088F9" w14:textId="63913660" w:rsidR="003355FF" w:rsidRDefault="006C611A" w:rsidP="003355FF">
            <w:r>
              <w:t>Standards Assessed</w:t>
            </w:r>
          </w:p>
        </w:tc>
        <w:tc>
          <w:tcPr>
            <w:tcW w:w="7653" w:type="dxa"/>
            <w:shd w:val="clear" w:color="auto" w:fill="auto"/>
          </w:tcPr>
          <w:p w14:paraId="7FC37FB6" w14:textId="6A425AAC" w:rsidR="003355FF" w:rsidRDefault="006C611A" w:rsidP="003355FF">
            <w:r>
              <w:t>CCRA.R.9, RL.9-10.2, RL.9-10.3, RL.9-10.4, RI.9-10.2, RI.9-10.3, RI.9-10.4, W.9-10.2.a, f, L.9-10.5.a</w:t>
            </w:r>
          </w:p>
        </w:tc>
      </w:tr>
      <w:tr w:rsidR="003355FF" w14:paraId="1F178304" w14:textId="77777777" w:rsidTr="002806F0">
        <w:tc>
          <w:tcPr>
            <w:tcW w:w="1792" w:type="dxa"/>
            <w:shd w:val="clear" w:color="auto" w:fill="auto"/>
          </w:tcPr>
          <w:p w14:paraId="57E1F1CF" w14:textId="428E88A4" w:rsidR="006C611A" w:rsidRDefault="006C611A" w:rsidP="003355FF">
            <w:r>
              <w:t>Description of Assessment</w:t>
            </w:r>
          </w:p>
        </w:tc>
        <w:tc>
          <w:tcPr>
            <w:tcW w:w="7653" w:type="dxa"/>
            <w:shd w:val="clear" w:color="auto" w:fill="auto"/>
          </w:tcPr>
          <w:p w14:paraId="1206848B" w14:textId="7111EB78" w:rsidR="003355FF" w:rsidRDefault="0020362C" w:rsidP="0020362C">
            <w:r>
              <w:t>Students participate in reading and discussion, w</w:t>
            </w:r>
            <w:r w:rsidRPr="00A836EB">
              <w:t>rite informally in response to text-based prompts</w:t>
            </w:r>
            <w:r>
              <w:t>,</w:t>
            </w:r>
            <w:r w:rsidRPr="00A836EB">
              <w:t xml:space="preserve"> </w:t>
            </w:r>
            <w:r>
              <w:t>and p</w:t>
            </w:r>
            <w:r w:rsidRPr="00A836EB">
              <w:t>resent information in an organized and logical manner</w:t>
            </w:r>
            <w:r>
              <w:t>.</w:t>
            </w:r>
          </w:p>
        </w:tc>
      </w:tr>
    </w:tbl>
    <w:p w14:paraId="0F617716" w14:textId="77777777" w:rsidR="003355FF" w:rsidRPr="003355FF" w:rsidRDefault="003355FF" w:rsidP="006C611A"/>
    <w:tbl>
      <w:tblPr>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20"/>
      </w:tblGrid>
      <w:tr w:rsidR="00CC183D" w:rsidRPr="00DF7D60" w14:paraId="11961F6B" w14:textId="77777777" w:rsidTr="002806F0">
        <w:tc>
          <w:tcPr>
            <w:tcW w:w="9450" w:type="dxa"/>
            <w:gridSpan w:val="2"/>
            <w:shd w:val="clear" w:color="auto" w:fill="5F497A"/>
          </w:tcPr>
          <w:p w14:paraId="2D903D8D" w14:textId="12D6B9A9" w:rsidR="00CC183D" w:rsidRPr="00714725" w:rsidRDefault="006C611A" w:rsidP="00CC183D">
            <w:pPr>
              <w:pStyle w:val="TableHeaders"/>
              <w:rPr>
                <w:lang w:val="en-US" w:eastAsia="en-US"/>
              </w:rPr>
            </w:pPr>
            <w:r>
              <w:rPr>
                <w:lang w:val="en-US" w:eastAsia="en-US"/>
              </w:rPr>
              <w:t>Mid-Unit</w:t>
            </w:r>
            <w:r w:rsidRPr="00714725">
              <w:rPr>
                <w:lang w:val="en-US" w:eastAsia="en-US"/>
              </w:rPr>
              <w:t xml:space="preserve"> </w:t>
            </w:r>
            <w:r w:rsidR="00CC183D" w:rsidRPr="00714725">
              <w:rPr>
                <w:lang w:val="en-US" w:eastAsia="en-US"/>
              </w:rPr>
              <w:t>Assessment</w:t>
            </w:r>
          </w:p>
        </w:tc>
      </w:tr>
      <w:tr w:rsidR="00CC183D" w:rsidRPr="00677A89" w14:paraId="26FD0358" w14:textId="77777777" w:rsidTr="002806F0">
        <w:tc>
          <w:tcPr>
            <w:tcW w:w="1630" w:type="dxa"/>
          </w:tcPr>
          <w:p w14:paraId="47401381" w14:textId="77777777" w:rsidR="00CC183D" w:rsidRPr="00677A89" w:rsidRDefault="00CC183D" w:rsidP="007A12D1">
            <w:pPr>
              <w:pStyle w:val="TableText"/>
            </w:pPr>
            <w:r w:rsidRPr="00677A89">
              <w:t>Standards Assessed</w:t>
            </w:r>
          </w:p>
        </w:tc>
        <w:tc>
          <w:tcPr>
            <w:tcW w:w="7820" w:type="dxa"/>
          </w:tcPr>
          <w:p w14:paraId="00390838" w14:textId="19222991" w:rsidR="00CC183D" w:rsidRPr="00A46456" w:rsidRDefault="00A46456" w:rsidP="00A46456">
            <w:pPr>
              <w:pStyle w:val="TableText"/>
            </w:pPr>
            <w:r>
              <w:t>RI.9-10.4, W.9-10.2.a,</w:t>
            </w:r>
            <w:r w:rsidR="0004227C">
              <w:t xml:space="preserve"> </w:t>
            </w:r>
            <w:r>
              <w:t>f</w:t>
            </w:r>
          </w:p>
        </w:tc>
      </w:tr>
      <w:tr w:rsidR="00CC183D" w:rsidRPr="00677A89" w14:paraId="103AEB68" w14:textId="77777777" w:rsidTr="002806F0">
        <w:tc>
          <w:tcPr>
            <w:tcW w:w="1630" w:type="dxa"/>
          </w:tcPr>
          <w:p w14:paraId="537606E2" w14:textId="77777777" w:rsidR="00CC183D" w:rsidRPr="00677A89" w:rsidRDefault="00CC183D" w:rsidP="007A12D1">
            <w:pPr>
              <w:pStyle w:val="TableText"/>
            </w:pPr>
            <w:r w:rsidRPr="00677A89">
              <w:t>Description of Assessment</w:t>
            </w:r>
          </w:p>
        </w:tc>
        <w:tc>
          <w:tcPr>
            <w:tcW w:w="7820" w:type="dxa"/>
          </w:tcPr>
          <w:p w14:paraId="44774C5A" w14:textId="00F87181" w:rsidR="006C611A" w:rsidRDefault="00A46456" w:rsidP="006C611A">
            <w:pPr>
              <w:pStyle w:val="TableText"/>
            </w:pPr>
            <w:r>
              <w:t xml:space="preserve">Students </w:t>
            </w:r>
            <w:r w:rsidR="006C611A">
              <w:t>write a</w:t>
            </w:r>
            <w:r>
              <w:t xml:space="preserve"> </w:t>
            </w:r>
            <w:r w:rsidR="00B44884">
              <w:t xml:space="preserve">formal, </w:t>
            </w:r>
            <w:r>
              <w:t xml:space="preserve">multi-paragraph response to the following prompt: </w:t>
            </w:r>
          </w:p>
          <w:p w14:paraId="71F2F200" w14:textId="2FB8E499" w:rsidR="00CC183D" w:rsidRPr="00677A89" w:rsidRDefault="00A46456" w:rsidP="006C611A">
            <w:pPr>
              <w:pStyle w:val="TableText"/>
            </w:pPr>
            <w:r>
              <w:t>What is the impact of Rilke’s specific word choices on the meaning and tone of his letter?</w:t>
            </w:r>
          </w:p>
        </w:tc>
      </w:tr>
    </w:tbl>
    <w:p w14:paraId="3F659C92" w14:textId="77777777" w:rsidR="00CC183D" w:rsidRPr="007A12D1" w:rsidRDefault="00CC183D" w:rsidP="007A12D1"/>
    <w:tbl>
      <w:tblPr>
        <w:tblW w:w="9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CC183D" w:rsidRPr="00DF7D60" w14:paraId="4A33DBC0" w14:textId="77777777" w:rsidTr="002806F0">
        <w:tc>
          <w:tcPr>
            <w:tcW w:w="9460" w:type="dxa"/>
            <w:gridSpan w:val="2"/>
            <w:shd w:val="clear" w:color="auto" w:fill="5F497A"/>
          </w:tcPr>
          <w:p w14:paraId="383451D3" w14:textId="77777777" w:rsidR="00CC183D" w:rsidRPr="00714725" w:rsidRDefault="00CC183D" w:rsidP="00CC183D">
            <w:pPr>
              <w:pStyle w:val="TableHeaders"/>
              <w:rPr>
                <w:lang w:val="en-US" w:eastAsia="en-US"/>
              </w:rPr>
            </w:pPr>
            <w:r w:rsidRPr="00714725">
              <w:rPr>
                <w:lang w:val="en-US" w:eastAsia="en-US"/>
              </w:rPr>
              <w:t>End-of-Unit Assessment</w:t>
            </w:r>
          </w:p>
        </w:tc>
      </w:tr>
      <w:tr w:rsidR="00CC183D" w:rsidRPr="00677A89" w14:paraId="36946CB4" w14:textId="77777777" w:rsidTr="002806F0">
        <w:tc>
          <w:tcPr>
            <w:tcW w:w="1710" w:type="dxa"/>
          </w:tcPr>
          <w:p w14:paraId="42823542" w14:textId="77777777" w:rsidR="00CC183D" w:rsidRPr="00677A89" w:rsidRDefault="00CC183D" w:rsidP="007A12D1">
            <w:pPr>
              <w:pStyle w:val="TableText"/>
            </w:pPr>
            <w:r w:rsidRPr="00677A89">
              <w:t>Standards Assessed</w:t>
            </w:r>
          </w:p>
        </w:tc>
        <w:tc>
          <w:tcPr>
            <w:tcW w:w="7750" w:type="dxa"/>
          </w:tcPr>
          <w:p w14:paraId="1841FD05" w14:textId="6A99F954" w:rsidR="00CC183D" w:rsidRPr="00176584" w:rsidRDefault="00513B10" w:rsidP="00513B10">
            <w:pPr>
              <w:pStyle w:val="TableText"/>
            </w:pPr>
            <w:r>
              <w:t>CCRA.R.9, RL.9-</w:t>
            </w:r>
            <w:r w:rsidR="00176584">
              <w:t>10.2, RI.9-10.2, W.9-10.2.a,</w:t>
            </w:r>
            <w:r>
              <w:t xml:space="preserve"> </w:t>
            </w:r>
            <w:r w:rsidR="00176584">
              <w:t>f</w:t>
            </w:r>
          </w:p>
        </w:tc>
      </w:tr>
      <w:tr w:rsidR="00CC183D" w:rsidRPr="00677A89" w14:paraId="37473D79" w14:textId="77777777" w:rsidTr="002806F0">
        <w:trPr>
          <w:trHeight w:val="740"/>
        </w:trPr>
        <w:tc>
          <w:tcPr>
            <w:tcW w:w="1710" w:type="dxa"/>
          </w:tcPr>
          <w:p w14:paraId="771AFE98" w14:textId="77777777" w:rsidR="00CC183D" w:rsidRPr="00677A89" w:rsidRDefault="00CC183D" w:rsidP="007A12D1">
            <w:pPr>
              <w:pStyle w:val="TableText"/>
            </w:pPr>
            <w:r w:rsidRPr="00677A89">
              <w:t>Description of Assessment</w:t>
            </w:r>
          </w:p>
        </w:tc>
        <w:tc>
          <w:tcPr>
            <w:tcW w:w="7750" w:type="dxa"/>
          </w:tcPr>
          <w:p w14:paraId="7C481BC8" w14:textId="56270FB8" w:rsidR="006C611A" w:rsidRDefault="00176584" w:rsidP="006C611A">
            <w:pPr>
              <w:pStyle w:val="TableText"/>
            </w:pPr>
            <w:r>
              <w:t>S</w:t>
            </w:r>
            <w:r w:rsidRPr="0066577F">
              <w:t xml:space="preserve">tudents </w:t>
            </w:r>
            <w:r w:rsidR="006C611A">
              <w:t>write</w:t>
            </w:r>
            <w:r w:rsidR="006C611A" w:rsidRPr="0066577F">
              <w:t xml:space="preserve"> </w:t>
            </w:r>
            <w:r w:rsidRPr="0066577F">
              <w:t xml:space="preserve">a </w:t>
            </w:r>
            <w:r w:rsidR="0044382D">
              <w:t>formal</w:t>
            </w:r>
            <w:r w:rsidR="00B44884">
              <w:t>,</w:t>
            </w:r>
            <w:r w:rsidR="0044382D">
              <w:t xml:space="preserve"> </w:t>
            </w:r>
            <w:r w:rsidRPr="0066577F">
              <w:t xml:space="preserve">multi-paragraph response to the following prompt: </w:t>
            </w:r>
          </w:p>
          <w:p w14:paraId="61A5F8D0" w14:textId="755ECE86" w:rsidR="00CC183D" w:rsidRPr="00677A89" w:rsidRDefault="00176584" w:rsidP="006C611A">
            <w:pPr>
              <w:pStyle w:val="TableText"/>
            </w:pPr>
            <w:r>
              <w:rPr>
                <w:highlight w:val="white"/>
              </w:rPr>
              <w:t xml:space="preserve">Identify similar </w:t>
            </w:r>
            <w:r w:rsidRPr="0066577F">
              <w:rPr>
                <w:highlight w:val="white"/>
              </w:rPr>
              <w:t xml:space="preserve">central ideas in </w:t>
            </w:r>
            <w:r w:rsidRPr="00C27ECC">
              <w:rPr>
                <w:i/>
                <w:highlight w:val="white"/>
              </w:rPr>
              <w:t>Letters to a Young Poet</w:t>
            </w:r>
            <w:r w:rsidRPr="0066577F">
              <w:rPr>
                <w:highlight w:val="white"/>
              </w:rPr>
              <w:t xml:space="preserve"> and </w:t>
            </w:r>
            <w:r w:rsidRPr="0066577F">
              <w:rPr>
                <w:i/>
                <w:highlight w:val="white"/>
              </w:rPr>
              <w:t>Black Swan Green</w:t>
            </w:r>
            <w:r w:rsidRPr="0066577F">
              <w:rPr>
                <w:highlight w:val="white"/>
              </w:rPr>
              <w:t>. How do Rilke and Mitchell develop these similar ideas?</w:t>
            </w:r>
          </w:p>
        </w:tc>
      </w:tr>
    </w:tbl>
    <w:p w14:paraId="44B70F52" w14:textId="77777777" w:rsidR="002806F0" w:rsidRDefault="002806F0" w:rsidP="00CC183D">
      <w:pPr>
        <w:pStyle w:val="Heading1"/>
      </w:pPr>
    </w:p>
    <w:p w14:paraId="430E12BD" w14:textId="3DD394D5" w:rsidR="00CC183D" w:rsidRDefault="002806F0" w:rsidP="00CC183D">
      <w:pPr>
        <w:pStyle w:val="Heading1"/>
      </w:pPr>
      <w:r>
        <w:br w:type="page"/>
      </w:r>
      <w:r w:rsidR="00CC183D">
        <w:lastRenderedPageBreak/>
        <w:t>Unit-at-a-Glance Calendar</w:t>
      </w:r>
    </w:p>
    <w:tbl>
      <w:tblPr>
        <w:tblW w:w="945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887"/>
        <w:gridCol w:w="5724"/>
      </w:tblGrid>
      <w:tr w:rsidR="00CC183D" w:rsidRPr="00C46F19" w14:paraId="71C3AD50" w14:textId="77777777" w:rsidTr="002806F0">
        <w:trPr>
          <w:cantSplit/>
          <w:tblHeader/>
        </w:trPr>
        <w:tc>
          <w:tcPr>
            <w:tcW w:w="0" w:type="auto"/>
            <w:shd w:val="clear" w:color="auto" w:fill="5F497A"/>
            <w:vAlign w:val="center"/>
          </w:tcPr>
          <w:p w14:paraId="0DF1B6F4" w14:textId="77777777" w:rsidR="00CC183D" w:rsidRPr="00714725" w:rsidRDefault="00CC183D" w:rsidP="00C46F19">
            <w:pPr>
              <w:pStyle w:val="TableHeaders"/>
              <w:rPr>
                <w:lang w:val="en-US" w:eastAsia="en-US"/>
              </w:rPr>
            </w:pPr>
            <w:bookmarkStart w:id="0" w:name="_GoBack"/>
            <w:r w:rsidRPr="00714725">
              <w:rPr>
                <w:lang w:val="en-US" w:eastAsia="en-US"/>
              </w:rPr>
              <w:t>Lesson</w:t>
            </w:r>
          </w:p>
        </w:tc>
        <w:tc>
          <w:tcPr>
            <w:tcW w:w="0" w:type="auto"/>
            <w:shd w:val="clear" w:color="auto" w:fill="5F497A"/>
            <w:vAlign w:val="center"/>
          </w:tcPr>
          <w:p w14:paraId="0D045D66" w14:textId="77777777" w:rsidR="00CC183D" w:rsidRPr="00714725" w:rsidRDefault="00CC183D" w:rsidP="00C46F19">
            <w:pPr>
              <w:pStyle w:val="TableHeaders"/>
              <w:rPr>
                <w:lang w:val="en-US" w:eastAsia="en-US"/>
              </w:rPr>
            </w:pPr>
            <w:r w:rsidRPr="00714725">
              <w:rPr>
                <w:lang w:val="en-US" w:eastAsia="en-US"/>
              </w:rPr>
              <w:t>Text</w:t>
            </w:r>
          </w:p>
        </w:tc>
        <w:tc>
          <w:tcPr>
            <w:tcW w:w="5724" w:type="dxa"/>
            <w:shd w:val="clear" w:color="auto" w:fill="5F497A"/>
            <w:vAlign w:val="center"/>
          </w:tcPr>
          <w:p w14:paraId="7B7FD2B7" w14:textId="77777777" w:rsidR="00CC183D" w:rsidRPr="00714725" w:rsidRDefault="00CC183D" w:rsidP="00C46F19">
            <w:pPr>
              <w:pStyle w:val="TableHeaders"/>
              <w:rPr>
                <w:lang w:val="en-US" w:eastAsia="en-US"/>
              </w:rPr>
            </w:pPr>
            <w:r w:rsidRPr="00714725">
              <w:rPr>
                <w:lang w:val="en-US" w:eastAsia="en-US"/>
              </w:rPr>
              <w:t>Learning Outcomes/Goals</w:t>
            </w:r>
          </w:p>
        </w:tc>
      </w:tr>
      <w:tr w:rsidR="00CC183D" w:rsidRPr="001F7CAA" w14:paraId="0D559D9D" w14:textId="77777777" w:rsidTr="002806F0">
        <w:trPr>
          <w:cantSplit/>
        </w:trPr>
        <w:tc>
          <w:tcPr>
            <w:tcW w:w="0" w:type="auto"/>
            <w:shd w:val="clear" w:color="auto" w:fill="FFFFFF"/>
          </w:tcPr>
          <w:p w14:paraId="7ADCD98F" w14:textId="77777777" w:rsidR="00CC183D" w:rsidRPr="001F7CAA" w:rsidRDefault="00CC183D" w:rsidP="001F7CAA">
            <w:pPr>
              <w:pStyle w:val="TableText"/>
            </w:pPr>
            <w:r w:rsidRPr="001F7CAA">
              <w:t>1</w:t>
            </w:r>
          </w:p>
        </w:tc>
        <w:tc>
          <w:tcPr>
            <w:tcW w:w="0" w:type="auto"/>
            <w:shd w:val="clear" w:color="auto" w:fill="FFFFFF"/>
          </w:tcPr>
          <w:p w14:paraId="05933AC3" w14:textId="5D055110" w:rsidR="00CC183D" w:rsidRPr="001F7CAA" w:rsidRDefault="0044382D" w:rsidP="00A82D14">
            <w:pPr>
              <w:pStyle w:val="TableText"/>
            </w:pPr>
            <w:r>
              <w:rPr>
                <w:i/>
              </w:rPr>
              <w:t xml:space="preserve">Letters to a Young Poet </w:t>
            </w:r>
            <w:r>
              <w:t>by Rainer Maria Rilke, “Letter One,”</w:t>
            </w:r>
            <w:r w:rsidR="006E5D59">
              <w:rPr>
                <w:i/>
              </w:rPr>
              <w:t xml:space="preserve"> </w:t>
            </w:r>
            <w:r w:rsidR="0001414E">
              <w:t>pp.</w:t>
            </w:r>
            <w:r w:rsidR="006E5D59">
              <w:t xml:space="preserve"> 3</w:t>
            </w:r>
            <w:r w:rsidR="00A82D14">
              <w:t>–</w:t>
            </w:r>
            <w:r w:rsidR="006E5D59">
              <w:t>5</w:t>
            </w:r>
            <w:r w:rsidR="00F61E99">
              <w:t xml:space="preserve"> </w:t>
            </w:r>
          </w:p>
        </w:tc>
        <w:tc>
          <w:tcPr>
            <w:tcW w:w="5724" w:type="dxa"/>
            <w:shd w:val="clear" w:color="auto" w:fill="FFFFFF"/>
          </w:tcPr>
          <w:p w14:paraId="7C420F65" w14:textId="2D4EA94A" w:rsidR="00CC183D" w:rsidRPr="001F7CAA" w:rsidRDefault="00506BD0" w:rsidP="00136348">
            <w:r>
              <w:t>In this first lesson of the</w:t>
            </w:r>
            <w:r w:rsidR="006E5D59">
              <w:t xml:space="preserve"> unit, </w:t>
            </w:r>
            <w:r w:rsidR="00136348">
              <w:t>s</w:t>
            </w:r>
            <w:r w:rsidR="006E5D59">
              <w:t xml:space="preserve">tudents listen to a masterful reading of “Letter One” of Rainer Maria Rilke’s </w:t>
            </w:r>
            <w:r w:rsidR="006E5D59" w:rsidRPr="00852EAB">
              <w:rPr>
                <w:i/>
              </w:rPr>
              <w:t>Letters to a Young Poet</w:t>
            </w:r>
            <w:r w:rsidR="006E5D59">
              <w:rPr>
                <w:i/>
              </w:rPr>
              <w:t xml:space="preserve">, </w:t>
            </w:r>
            <w:r w:rsidR="006E5D59">
              <w:t xml:space="preserve">in which Rilke responds to a young poet’s search for guidance. </w:t>
            </w:r>
            <w:r w:rsidR="00136348">
              <w:t xml:space="preserve">Next, students reread the excerpt and </w:t>
            </w:r>
            <w:r w:rsidR="006E5D59">
              <w:t xml:space="preserve">participate in small-group discussions to analyze how Rilke unfolds important ideas, such as the relationship between criticism and art and the intangible and inexpressible nature of art. </w:t>
            </w:r>
          </w:p>
        </w:tc>
      </w:tr>
      <w:tr w:rsidR="00CC183D" w:rsidRPr="001F7CAA" w14:paraId="4AF21911" w14:textId="77777777" w:rsidTr="002806F0">
        <w:trPr>
          <w:cantSplit/>
        </w:trPr>
        <w:tc>
          <w:tcPr>
            <w:tcW w:w="0" w:type="auto"/>
            <w:shd w:val="clear" w:color="auto" w:fill="FFFFFF"/>
          </w:tcPr>
          <w:p w14:paraId="288C56B2" w14:textId="77777777" w:rsidR="00CC183D" w:rsidRPr="001F7CAA" w:rsidRDefault="00CC183D" w:rsidP="001F7CAA">
            <w:pPr>
              <w:pStyle w:val="TableText"/>
            </w:pPr>
            <w:r w:rsidRPr="001F7CAA">
              <w:t>2</w:t>
            </w:r>
          </w:p>
        </w:tc>
        <w:tc>
          <w:tcPr>
            <w:tcW w:w="0" w:type="auto"/>
            <w:shd w:val="clear" w:color="auto" w:fill="FFFFFF"/>
          </w:tcPr>
          <w:p w14:paraId="2AE6A928" w14:textId="50DC1F58" w:rsidR="00CC183D" w:rsidRPr="006E5D59" w:rsidRDefault="00163033" w:rsidP="00163033">
            <w:pPr>
              <w:pStyle w:val="TableText"/>
            </w:pPr>
            <w:r>
              <w:rPr>
                <w:i/>
              </w:rPr>
              <w:t xml:space="preserve">Letters to a Young Poet </w:t>
            </w:r>
            <w:r>
              <w:t>by Rainer Maria Rilke, “Letter One,”</w:t>
            </w:r>
            <w:r w:rsidR="006E5D59">
              <w:t xml:space="preserve"> p</w:t>
            </w:r>
            <w:r w:rsidR="0001414E">
              <w:t>p.</w:t>
            </w:r>
            <w:r w:rsidR="006E5D59">
              <w:t xml:space="preserve"> 5</w:t>
            </w:r>
            <w:r w:rsidR="00A82D14">
              <w:t>–</w:t>
            </w:r>
            <w:r w:rsidR="006E5D59">
              <w:t>9</w:t>
            </w:r>
          </w:p>
        </w:tc>
        <w:tc>
          <w:tcPr>
            <w:tcW w:w="5724" w:type="dxa"/>
            <w:shd w:val="clear" w:color="auto" w:fill="FFFFFF"/>
          </w:tcPr>
          <w:p w14:paraId="6DF429BD" w14:textId="665C53BB" w:rsidR="00CC183D" w:rsidRPr="001F7CAA" w:rsidRDefault="006E5D59" w:rsidP="00136348">
            <w:r>
              <w:t xml:space="preserve">In this lesson, students continue to analyze </w:t>
            </w:r>
            <w:r w:rsidR="00136348">
              <w:t>“</w:t>
            </w:r>
            <w:r>
              <w:t>Letter One</w:t>
            </w:r>
            <w:r w:rsidR="00136348">
              <w:t>”</w:t>
            </w:r>
            <w:r>
              <w:t xml:space="preserve"> from Rilke’s </w:t>
            </w:r>
            <w:r>
              <w:rPr>
                <w:i/>
              </w:rPr>
              <w:t xml:space="preserve">Letters to a Young Poet </w:t>
            </w:r>
            <w:r w:rsidR="00136348">
              <w:t xml:space="preserve">and </w:t>
            </w:r>
            <w:r>
              <w:t xml:space="preserve">explore how Rilke uses metaphor to discuss his ideas about art. </w:t>
            </w:r>
          </w:p>
        </w:tc>
      </w:tr>
      <w:tr w:rsidR="00CC183D" w:rsidRPr="001F7CAA" w14:paraId="4274108B" w14:textId="77777777" w:rsidTr="002806F0">
        <w:trPr>
          <w:cantSplit/>
        </w:trPr>
        <w:tc>
          <w:tcPr>
            <w:tcW w:w="0" w:type="auto"/>
            <w:shd w:val="clear" w:color="auto" w:fill="FFFFFF"/>
          </w:tcPr>
          <w:p w14:paraId="44B8801C" w14:textId="77777777" w:rsidR="00CC183D" w:rsidRPr="001F7CAA" w:rsidRDefault="00CC183D" w:rsidP="001F7CAA">
            <w:pPr>
              <w:pStyle w:val="TableText"/>
            </w:pPr>
            <w:r w:rsidRPr="001F7CAA">
              <w:t>3</w:t>
            </w:r>
          </w:p>
        </w:tc>
        <w:tc>
          <w:tcPr>
            <w:tcW w:w="0" w:type="auto"/>
            <w:shd w:val="clear" w:color="auto" w:fill="FFFFFF"/>
          </w:tcPr>
          <w:p w14:paraId="75179154" w14:textId="41255935" w:rsidR="00CC183D" w:rsidRPr="006E5D59" w:rsidRDefault="006E5D59" w:rsidP="00163033">
            <w:pPr>
              <w:pStyle w:val="TableText"/>
            </w:pPr>
            <w:r>
              <w:rPr>
                <w:i/>
              </w:rPr>
              <w:t>Letters to a Young Poet</w:t>
            </w:r>
            <w:r w:rsidR="00163033">
              <w:rPr>
                <w:i/>
              </w:rPr>
              <w:t xml:space="preserve"> </w:t>
            </w:r>
            <w:r w:rsidR="00163033">
              <w:t>by Rainer Maria Rilke, “Letter One,”</w:t>
            </w:r>
            <w:r>
              <w:t xml:space="preserve"> p</w:t>
            </w:r>
            <w:r w:rsidR="0001414E">
              <w:t xml:space="preserve">p. </w:t>
            </w:r>
            <w:r>
              <w:t>9</w:t>
            </w:r>
            <w:r w:rsidR="00A82D14">
              <w:t>–</w:t>
            </w:r>
            <w:r>
              <w:t>12</w:t>
            </w:r>
          </w:p>
        </w:tc>
        <w:tc>
          <w:tcPr>
            <w:tcW w:w="5724" w:type="dxa"/>
            <w:shd w:val="clear" w:color="auto" w:fill="FFFFFF"/>
          </w:tcPr>
          <w:p w14:paraId="242F3795" w14:textId="1B750C91" w:rsidR="00CC183D" w:rsidRPr="001F7CAA" w:rsidRDefault="006E5D59" w:rsidP="00136348">
            <w:r>
              <w:t xml:space="preserve">In this lesson, students </w:t>
            </w:r>
            <w:r w:rsidR="00136348">
              <w:t>continue to read</w:t>
            </w:r>
            <w:r>
              <w:t xml:space="preserve"> </w:t>
            </w:r>
            <w:r w:rsidR="00136348">
              <w:t>“</w:t>
            </w:r>
            <w:r>
              <w:t>Letter One</w:t>
            </w:r>
            <w:r w:rsidR="00136348">
              <w:t>”</w:t>
            </w:r>
            <w:r>
              <w:t xml:space="preserve"> from Rilke’s </w:t>
            </w:r>
            <w:r>
              <w:rPr>
                <w:i/>
              </w:rPr>
              <w:t>Letters to a Young Poet</w:t>
            </w:r>
            <w:r w:rsidR="00136348">
              <w:t>, analyzing</w:t>
            </w:r>
            <w:r w:rsidR="00136348">
              <w:rPr>
                <w:i/>
              </w:rPr>
              <w:t xml:space="preserve"> </w:t>
            </w:r>
            <w:r>
              <w:t xml:space="preserve">Rilke’s development of central ideas. </w:t>
            </w:r>
          </w:p>
        </w:tc>
      </w:tr>
      <w:tr w:rsidR="00CC183D" w:rsidRPr="001F7CAA" w14:paraId="3D9938FD" w14:textId="77777777" w:rsidTr="002806F0">
        <w:trPr>
          <w:cantSplit/>
        </w:trPr>
        <w:tc>
          <w:tcPr>
            <w:tcW w:w="0" w:type="auto"/>
            <w:shd w:val="clear" w:color="auto" w:fill="FFFFFF"/>
          </w:tcPr>
          <w:p w14:paraId="79AB6DEC" w14:textId="77777777" w:rsidR="00CC183D" w:rsidRPr="001F7CAA" w:rsidRDefault="00CC183D" w:rsidP="001F7CAA">
            <w:pPr>
              <w:pStyle w:val="TableText"/>
            </w:pPr>
            <w:r w:rsidRPr="001F7CAA">
              <w:t>4</w:t>
            </w:r>
          </w:p>
        </w:tc>
        <w:tc>
          <w:tcPr>
            <w:tcW w:w="0" w:type="auto"/>
            <w:shd w:val="clear" w:color="auto" w:fill="FFFFFF"/>
          </w:tcPr>
          <w:p w14:paraId="40A4F73D" w14:textId="0B247B71" w:rsidR="00CC183D" w:rsidRPr="006E5D59" w:rsidRDefault="006E5D59" w:rsidP="00163033">
            <w:pPr>
              <w:pStyle w:val="TableText"/>
            </w:pPr>
            <w:r>
              <w:rPr>
                <w:i/>
              </w:rPr>
              <w:t>Letters to a Young Poet</w:t>
            </w:r>
            <w:r w:rsidR="00163033">
              <w:rPr>
                <w:i/>
              </w:rPr>
              <w:t xml:space="preserve"> </w:t>
            </w:r>
            <w:r w:rsidR="00163033">
              <w:t>by Rainer Maria Rilke, “Letter One”</w:t>
            </w:r>
          </w:p>
        </w:tc>
        <w:tc>
          <w:tcPr>
            <w:tcW w:w="5724" w:type="dxa"/>
            <w:shd w:val="clear" w:color="auto" w:fill="FFFFFF"/>
          </w:tcPr>
          <w:p w14:paraId="07D626C0" w14:textId="3392E5FB" w:rsidR="00CC183D" w:rsidRPr="001F7CAA" w:rsidRDefault="006E5D59" w:rsidP="006E5D59">
            <w:r>
              <w:t xml:space="preserve">In this Mid-Unit Assessment, students use textual evidence from </w:t>
            </w:r>
            <w:r w:rsidR="00136348">
              <w:t>“</w:t>
            </w:r>
            <w:r>
              <w:t>Letter One</w:t>
            </w:r>
            <w:r w:rsidR="00136348">
              <w:t>”</w:t>
            </w:r>
            <w:r>
              <w:t xml:space="preserve"> from </w:t>
            </w:r>
            <w:r>
              <w:rPr>
                <w:i/>
              </w:rPr>
              <w:t>Letters to a Young Poet</w:t>
            </w:r>
            <w:r>
              <w:t xml:space="preserve"> by Raine</w:t>
            </w:r>
            <w:r w:rsidR="00163033">
              <w:t>r Maria Rilke to craft a</w:t>
            </w:r>
            <w:r w:rsidR="00B44884">
              <w:t xml:space="preserve"> formal,</w:t>
            </w:r>
            <w:r>
              <w:t xml:space="preserve"> multi-paragraph essay in response to the following prompt: What is the impact of Rilke’s specific word choices on the meaning and tone of his letter?</w:t>
            </w:r>
          </w:p>
        </w:tc>
      </w:tr>
      <w:tr w:rsidR="00CC183D" w:rsidRPr="001F7CAA" w14:paraId="1EFFF2F1" w14:textId="77777777" w:rsidTr="002806F0">
        <w:trPr>
          <w:cantSplit/>
        </w:trPr>
        <w:tc>
          <w:tcPr>
            <w:tcW w:w="0" w:type="auto"/>
            <w:shd w:val="clear" w:color="auto" w:fill="FFFFFF"/>
          </w:tcPr>
          <w:p w14:paraId="3A2C2651" w14:textId="77777777" w:rsidR="00CC183D" w:rsidRPr="001F7CAA" w:rsidRDefault="00CC183D" w:rsidP="001F7CAA">
            <w:pPr>
              <w:pStyle w:val="TableText"/>
            </w:pPr>
            <w:r w:rsidRPr="001F7CAA">
              <w:t>5</w:t>
            </w:r>
          </w:p>
        </w:tc>
        <w:tc>
          <w:tcPr>
            <w:tcW w:w="0" w:type="auto"/>
            <w:shd w:val="clear" w:color="auto" w:fill="FFFFFF"/>
          </w:tcPr>
          <w:p w14:paraId="4AC6B430" w14:textId="2735E503" w:rsidR="00CC183D" w:rsidRPr="00444D4B" w:rsidRDefault="00444D4B" w:rsidP="0001414E">
            <w:pPr>
              <w:pStyle w:val="TableText"/>
            </w:pPr>
            <w:r>
              <w:rPr>
                <w:i/>
              </w:rPr>
              <w:t>Black Swan Green</w:t>
            </w:r>
            <w:r w:rsidR="00163033">
              <w:t xml:space="preserve"> by David Mitchell</w:t>
            </w:r>
            <w:r>
              <w:t>,</w:t>
            </w:r>
            <w:r w:rsidR="00163033">
              <w:t xml:space="preserve"> “Hangman,”</w:t>
            </w:r>
            <w:r>
              <w:t xml:space="preserve"> p</w:t>
            </w:r>
            <w:r w:rsidR="0001414E">
              <w:t>p.</w:t>
            </w:r>
            <w:r>
              <w:t xml:space="preserve"> 24</w:t>
            </w:r>
            <w:r w:rsidR="00A82D14">
              <w:t>–</w:t>
            </w:r>
            <w:r>
              <w:t>26</w:t>
            </w:r>
          </w:p>
        </w:tc>
        <w:tc>
          <w:tcPr>
            <w:tcW w:w="5724" w:type="dxa"/>
            <w:shd w:val="clear" w:color="auto" w:fill="FFFFFF"/>
          </w:tcPr>
          <w:p w14:paraId="43FB6935" w14:textId="286624D8" w:rsidR="00CC183D" w:rsidRPr="001F7CAA" w:rsidRDefault="006E5D59" w:rsidP="00F52E12">
            <w:r>
              <w:t>In this lesson, s</w:t>
            </w:r>
            <w:r w:rsidR="00814C2B">
              <w:t>tudents read an excerpt from</w:t>
            </w:r>
            <w:r>
              <w:t xml:space="preserve"> “Hangman” </w:t>
            </w:r>
            <w:r w:rsidR="00F52E12">
              <w:t>in</w:t>
            </w:r>
            <w:r>
              <w:t xml:space="preserve"> David Mitchell’s </w:t>
            </w:r>
            <w:r>
              <w:rPr>
                <w:i/>
              </w:rPr>
              <w:t>Black Swan Green</w:t>
            </w:r>
            <w:r>
              <w:t>,</w:t>
            </w:r>
            <w:r>
              <w:rPr>
                <w:i/>
              </w:rPr>
              <w:t xml:space="preserve"> </w:t>
            </w:r>
            <w:r>
              <w:t xml:space="preserve">in which Jason Taylor, the narrator, discusses his struggle with stammering. Students </w:t>
            </w:r>
            <w:r w:rsidR="00F52E12">
              <w:t xml:space="preserve">analyze </w:t>
            </w:r>
            <w:r>
              <w:t xml:space="preserve">the cumulative impact of specific word choices on meaning and tone. </w:t>
            </w:r>
          </w:p>
        </w:tc>
      </w:tr>
      <w:tr w:rsidR="00CC183D" w:rsidRPr="001F7CAA" w14:paraId="33C0F251" w14:textId="77777777" w:rsidTr="002806F0">
        <w:trPr>
          <w:cantSplit/>
        </w:trPr>
        <w:tc>
          <w:tcPr>
            <w:tcW w:w="0" w:type="auto"/>
            <w:shd w:val="clear" w:color="auto" w:fill="FFFFFF"/>
          </w:tcPr>
          <w:p w14:paraId="5C17D57A" w14:textId="77777777" w:rsidR="00CC183D" w:rsidRPr="001F7CAA" w:rsidRDefault="00CC183D" w:rsidP="001F7CAA">
            <w:pPr>
              <w:pStyle w:val="TableText"/>
            </w:pPr>
            <w:r w:rsidRPr="001F7CAA">
              <w:t>6</w:t>
            </w:r>
          </w:p>
        </w:tc>
        <w:tc>
          <w:tcPr>
            <w:tcW w:w="0" w:type="auto"/>
            <w:shd w:val="clear" w:color="auto" w:fill="FFFFFF"/>
          </w:tcPr>
          <w:p w14:paraId="19657F91" w14:textId="7C425256" w:rsidR="00CC183D" w:rsidRPr="00444D4B" w:rsidRDefault="00444D4B" w:rsidP="00163033">
            <w:pPr>
              <w:pStyle w:val="TableText"/>
            </w:pPr>
            <w:r>
              <w:rPr>
                <w:i/>
              </w:rPr>
              <w:t>Black Swan Green</w:t>
            </w:r>
            <w:r w:rsidR="00163033">
              <w:rPr>
                <w:i/>
              </w:rPr>
              <w:t xml:space="preserve"> </w:t>
            </w:r>
            <w:r w:rsidR="00163033">
              <w:t xml:space="preserve">by David Mitchell, “Hangman,” </w:t>
            </w:r>
            <w:r>
              <w:t>p</w:t>
            </w:r>
            <w:r w:rsidR="0001414E">
              <w:t>p.</w:t>
            </w:r>
            <w:r>
              <w:t xml:space="preserve"> 26</w:t>
            </w:r>
            <w:r w:rsidR="00A82D14">
              <w:t>–</w:t>
            </w:r>
            <w:r>
              <w:t>28</w:t>
            </w:r>
          </w:p>
        </w:tc>
        <w:tc>
          <w:tcPr>
            <w:tcW w:w="5724" w:type="dxa"/>
            <w:shd w:val="clear" w:color="auto" w:fill="FFFFFF"/>
          </w:tcPr>
          <w:p w14:paraId="65DB93C6" w14:textId="245495AC" w:rsidR="00CC183D" w:rsidRPr="001F7CAA" w:rsidRDefault="00444D4B" w:rsidP="00F52E12">
            <w:r>
              <w:t xml:space="preserve">In this lesson, students </w:t>
            </w:r>
            <w:r w:rsidR="00F52E12">
              <w:t xml:space="preserve">continue to read </w:t>
            </w:r>
            <w:r w:rsidR="00814C2B">
              <w:t>from</w:t>
            </w:r>
            <w:r w:rsidR="0004227C">
              <w:t xml:space="preserve"> </w:t>
            </w:r>
            <w:r>
              <w:t>“Hangman</w:t>
            </w:r>
            <w:r w:rsidR="00F52E12">
              <w:t>,</w:t>
            </w:r>
            <w:r>
              <w:t>”</w:t>
            </w:r>
            <w:r w:rsidR="00F52E12">
              <w:t xml:space="preserve"> and</w:t>
            </w:r>
            <w:r>
              <w:t xml:space="preserve"> </w:t>
            </w:r>
            <w:r w:rsidR="00F52E12">
              <w:t xml:space="preserve">consider </w:t>
            </w:r>
            <w:r>
              <w:t xml:space="preserve">Mitchell’s use of figurative language and how it develops the relationship between </w:t>
            </w:r>
            <w:r w:rsidR="00F52E12">
              <w:t>Jason and his stutter, which he calls Hangman</w:t>
            </w:r>
            <w:r>
              <w:t xml:space="preserve">. </w:t>
            </w:r>
          </w:p>
        </w:tc>
      </w:tr>
      <w:tr w:rsidR="00444D4B" w:rsidRPr="001F7CAA" w14:paraId="5DB71FD6" w14:textId="77777777" w:rsidTr="002806F0">
        <w:trPr>
          <w:cantSplit/>
        </w:trPr>
        <w:tc>
          <w:tcPr>
            <w:tcW w:w="0" w:type="auto"/>
            <w:shd w:val="clear" w:color="auto" w:fill="FFFFFF"/>
          </w:tcPr>
          <w:p w14:paraId="0C1CC9AC" w14:textId="77777777" w:rsidR="00444D4B" w:rsidRPr="001F7CAA" w:rsidRDefault="00444D4B" w:rsidP="001F7CAA">
            <w:pPr>
              <w:pStyle w:val="TableText"/>
            </w:pPr>
            <w:r>
              <w:lastRenderedPageBreak/>
              <w:t>7</w:t>
            </w:r>
          </w:p>
        </w:tc>
        <w:tc>
          <w:tcPr>
            <w:tcW w:w="0" w:type="auto"/>
            <w:shd w:val="clear" w:color="auto" w:fill="FFFFFF"/>
          </w:tcPr>
          <w:p w14:paraId="47718075" w14:textId="5D661354" w:rsidR="00444D4B" w:rsidRPr="00444D4B" w:rsidRDefault="00444D4B" w:rsidP="00163033">
            <w:pPr>
              <w:pStyle w:val="TableText"/>
            </w:pPr>
            <w:r>
              <w:rPr>
                <w:i/>
              </w:rPr>
              <w:t>Black Swan Green</w:t>
            </w:r>
            <w:r w:rsidR="00163033">
              <w:rPr>
                <w:i/>
              </w:rPr>
              <w:t xml:space="preserve"> </w:t>
            </w:r>
            <w:r w:rsidR="00163033">
              <w:t xml:space="preserve">by David Mitchell, “Solarium,” </w:t>
            </w:r>
            <w:r>
              <w:t>p</w:t>
            </w:r>
            <w:r w:rsidR="0001414E">
              <w:t>p.</w:t>
            </w:r>
            <w:r>
              <w:t xml:space="preserve"> 142</w:t>
            </w:r>
            <w:r w:rsidR="00A82D14">
              <w:t>–</w:t>
            </w:r>
            <w:r>
              <w:t>145</w:t>
            </w:r>
          </w:p>
        </w:tc>
        <w:tc>
          <w:tcPr>
            <w:tcW w:w="5724" w:type="dxa"/>
            <w:shd w:val="clear" w:color="auto" w:fill="FFFFFF"/>
          </w:tcPr>
          <w:p w14:paraId="6859F273" w14:textId="542AE45A" w:rsidR="00444D4B" w:rsidRPr="001F7CAA" w:rsidRDefault="00444D4B" w:rsidP="00F52E12">
            <w:pPr>
              <w:spacing w:before="120"/>
            </w:pPr>
            <w:r>
              <w:t>In this lesson, students begin their study of “Solarium,” a</w:t>
            </w:r>
            <w:r w:rsidR="00F52E12">
              <w:t>nother</w:t>
            </w:r>
            <w:r>
              <w:t xml:space="preserve"> chapter from the novel </w:t>
            </w:r>
            <w:r>
              <w:rPr>
                <w:i/>
              </w:rPr>
              <w:t>Black Swan Green</w:t>
            </w:r>
            <w:r>
              <w:t xml:space="preserve"> by David Mitchell. Students read and discuss </w:t>
            </w:r>
            <w:r w:rsidR="00F52E12">
              <w:t>an excerpt</w:t>
            </w:r>
            <w:r>
              <w:t xml:space="preserve"> in which Jason, the narrator, first meets Madame </w:t>
            </w:r>
            <w:proofErr w:type="spellStart"/>
            <w:r>
              <w:t>Crommelynk</w:t>
            </w:r>
            <w:proofErr w:type="spellEnd"/>
            <w:r>
              <w:t>, the old woman who delivers his poems to be published. In small groups, students analyze how the author develops characters in this excerpt.</w:t>
            </w:r>
          </w:p>
        </w:tc>
      </w:tr>
      <w:tr w:rsidR="00444D4B" w:rsidRPr="001F7CAA" w14:paraId="787D515B" w14:textId="77777777" w:rsidTr="002806F0">
        <w:trPr>
          <w:cantSplit/>
        </w:trPr>
        <w:tc>
          <w:tcPr>
            <w:tcW w:w="0" w:type="auto"/>
            <w:shd w:val="clear" w:color="auto" w:fill="FFFFFF"/>
          </w:tcPr>
          <w:p w14:paraId="554D2A76" w14:textId="77777777" w:rsidR="00444D4B" w:rsidRPr="001F7CAA" w:rsidRDefault="00444D4B" w:rsidP="001F7CAA">
            <w:pPr>
              <w:pStyle w:val="TableText"/>
            </w:pPr>
            <w:r>
              <w:t>8</w:t>
            </w:r>
          </w:p>
        </w:tc>
        <w:tc>
          <w:tcPr>
            <w:tcW w:w="0" w:type="auto"/>
            <w:shd w:val="clear" w:color="auto" w:fill="FFFFFF"/>
          </w:tcPr>
          <w:p w14:paraId="0C62C2EB" w14:textId="18746EAA" w:rsidR="00444D4B" w:rsidRPr="00444D4B" w:rsidRDefault="00444D4B" w:rsidP="0001414E">
            <w:pPr>
              <w:pStyle w:val="TableText"/>
            </w:pPr>
            <w:r>
              <w:rPr>
                <w:i/>
              </w:rPr>
              <w:t>Black Swan Green</w:t>
            </w:r>
            <w:r w:rsidR="00163033">
              <w:rPr>
                <w:i/>
              </w:rPr>
              <w:t xml:space="preserve"> </w:t>
            </w:r>
            <w:r w:rsidR="00163033">
              <w:t>by David Mitchell, “Solarium,”</w:t>
            </w:r>
            <w:r>
              <w:t xml:space="preserve"> p</w:t>
            </w:r>
            <w:r w:rsidR="0001414E">
              <w:t>p.</w:t>
            </w:r>
            <w:r>
              <w:t xml:space="preserve"> 145</w:t>
            </w:r>
            <w:r w:rsidR="00A82D14">
              <w:t>–</w:t>
            </w:r>
            <w:r>
              <w:t>148</w:t>
            </w:r>
          </w:p>
        </w:tc>
        <w:tc>
          <w:tcPr>
            <w:tcW w:w="5724" w:type="dxa"/>
            <w:shd w:val="clear" w:color="auto" w:fill="FFFFFF"/>
          </w:tcPr>
          <w:p w14:paraId="43DC60E0" w14:textId="485E86F0" w:rsidR="00444D4B" w:rsidRPr="001F7CAA" w:rsidRDefault="00444D4B" w:rsidP="00F52E12">
            <w:r>
              <w:t xml:space="preserve">In this lesson, students </w:t>
            </w:r>
            <w:r w:rsidR="00F52E12">
              <w:t xml:space="preserve">continue their work with </w:t>
            </w:r>
            <w:r>
              <w:t>“Solarium</w:t>
            </w:r>
            <w:r w:rsidR="00F52E12">
              <w:t>,</w:t>
            </w:r>
            <w:r>
              <w:t>”</w:t>
            </w:r>
            <w:r w:rsidR="00F52E12">
              <w:t xml:space="preserve"> analyzing</w:t>
            </w:r>
            <w:r>
              <w:t xml:space="preserve"> how </w:t>
            </w:r>
            <w:r w:rsidR="00F52E12">
              <w:t xml:space="preserve">a discussion </w:t>
            </w:r>
            <w:r>
              <w:t xml:space="preserve">between Jason and Madame </w:t>
            </w:r>
            <w:proofErr w:type="spellStart"/>
            <w:r>
              <w:t>Crommelynck</w:t>
            </w:r>
            <w:proofErr w:type="spellEnd"/>
            <w:r>
              <w:t xml:space="preserve"> develops the text’s central ideas.</w:t>
            </w:r>
          </w:p>
        </w:tc>
      </w:tr>
      <w:tr w:rsidR="00444D4B" w:rsidRPr="001F7CAA" w14:paraId="31C9B3CE" w14:textId="77777777" w:rsidTr="002806F0">
        <w:trPr>
          <w:cantSplit/>
        </w:trPr>
        <w:tc>
          <w:tcPr>
            <w:tcW w:w="0" w:type="auto"/>
            <w:shd w:val="clear" w:color="auto" w:fill="FFFFFF"/>
          </w:tcPr>
          <w:p w14:paraId="7AA7040B" w14:textId="77777777" w:rsidR="00444D4B" w:rsidRPr="001F7CAA" w:rsidRDefault="00444D4B" w:rsidP="001F7CAA">
            <w:pPr>
              <w:pStyle w:val="TableText"/>
            </w:pPr>
            <w:r>
              <w:t>9</w:t>
            </w:r>
          </w:p>
        </w:tc>
        <w:tc>
          <w:tcPr>
            <w:tcW w:w="0" w:type="auto"/>
            <w:shd w:val="clear" w:color="auto" w:fill="FFFFFF"/>
          </w:tcPr>
          <w:p w14:paraId="74532117" w14:textId="78976846" w:rsidR="00444D4B" w:rsidRPr="00444D4B" w:rsidRDefault="00444D4B" w:rsidP="00163033">
            <w:pPr>
              <w:pStyle w:val="TableText"/>
            </w:pPr>
            <w:r>
              <w:rPr>
                <w:i/>
              </w:rPr>
              <w:t>Black Swan Green</w:t>
            </w:r>
            <w:r w:rsidR="00163033">
              <w:t xml:space="preserve"> by David Mitchell, “Solarium,” </w:t>
            </w:r>
            <w:r>
              <w:t>p</w:t>
            </w:r>
            <w:r w:rsidR="0001414E">
              <w:t>p.</w:t>
            </w:r>
            <w:r>
              <w:t xml:space="preserve"> 149</w:t>
            </w:r>
            <w:r w:rsidR="00A82D14">
              <w:t>–</w:t>
            </w:r>
            <w:r>
              <w:t>156</w:t>
            </w:r>
          </w:p>
        </w:tc>
        <w:tc>
          <w:tcPr>
            <w:tcW w:w="5724" w:type="dxa"/>
            <w:shd w:val="clear" w:color="auto" w:fill="FFFFFF"/>
          </w:tcPr>
          <w:p w14:paraId="34295C61" w14:textId="04D7FB1A" w:rsidR="00444D4B" w:rsidRPr="001F7CAA" w:rsidRDefault="00444D4B" w:rsidP="00C07778">
            <w:r>
              <w:t>In this lesson, students read excerpts from two of Jason’s visits to the vicarage in “Solarium</w:t>
            </w:r>
            <w:r w:rsidR="00913CEB">
              <w:t>.</w:t>
            </w:r>
            <w:r>
              <w:t xml:space="preserve">” Students analyze how Mitchell refines the central idea of </w:t>
            </w:r>
            <w:r w:rsidR="00C07778">
              <w:t>the meaning</w:t>
            </w:r>
            <w:r>
              <w:t xml:space="preserve"> of beauty and how he introduces and develops a new central </w:t>
            </w:r>
            <w:r w:rsidR="00913CEB">
              <w:t xml:space="preserve">idea, </w:t>
            </w:r>
            <w:r>
              <w:t>that</w:t>
            </w:r>
            <w:r w:rsidR="00913CEB">
              <w:t xml:space="preserve"> of individual identity vs. group identification, which</w:t>
            </w:r>
            <w:r>
              <w:t xml:space="preserve"> is also present in other texts from this module.</w:t>
            </w:r>
          </w:p>
        </w:tc>
      </w:tr>
      <w:tr w:rsidR="00444D4B" w:rsidRPr="001F7CAA" w14:paraId="58352FB6" w14:textId="77777777" w:rsidTr="002806F0">
        <w:trPr>
          <w:cantSplit/>
        </w:trPr>
        <w:tc>
          <w:tcPr>
            <w:tcW w:w="0" w:type="auto"/>
            <w:shd w:val="clear" w:color="auto" w:fill="FFFFFF"/>
          </w:tcPr>
          <w:p w14:paraId="2203B304" w14:textId="77777777" w:rsidR="00444D4B" w:rsidRPr="001F7CAA" w:rsidRDefault="00444D4B" w:rsidP="001F7CAA">
            <w:pPr>
              <w:pStyle w:val="TableText"/>
            </w:pPr>
            <w:r>
              <w:t>10</w:t>
            </w:r>
          </w:p>
        </w:tc>
        <w:tc>
          <w:tcPr>
            <w:tcW w:w="0" w:type="auto"/>
            <w:shd w:val="clear" w:color="auto" w:fill="FFFFFF"/>
          </w:tcPr>
          <w:p w14:paraId="02F75761" w14:textId="11D2D5A0" w:rsidR="00444D4B" w:rsidRPr="00163033" w:rsidRDefault="00444D4B" w:rsidP="00163033">
            <w:pPr>
              <w:pStyle w:val="TableText"/>
            </w:pPr>
            <w:r>
              <w:rPr>
                <w:i/>
              </w:rPr>
              <w:t>Letters to a Young Poet</w:t>
            </w:r>
            <w:r w:rsidR="00163033">
              <w:t xml:space="preserve"> by Rainer Maria Rilke, “Letter One,” pp. 3–12</w:t>
            </w:r>
            <w:r>
              <w:rPr>
                <w:i/>
              </w:rPr>
              <w:t>, Black Swan Green</w:t>
            </w:r>
            <w:r w:rsidR="00163033">
              <w:t xml:space="preserve"> by David Mitchell, “Hangman” and “Solarium,” pp. 24–28 and 142–156 </w:t>
            </w:r>
          </w:p>
        </w:tc>
        <w:tc>
          <w:tcPr>
            <w:tcW w:w="5724" w:type="dxa"/>
            <w:shd w:val="clear" w:color="auto" w:fill="FFFFFF"/>
          </w:tcPr>
          <w:p w14:paraId="65DFDD2F" w14:textId="6CC8C5F8" w:rsidR="00444D4B" w:rsidRPr="001F7CAA" w:rsidRDefault="00444D4B" w:rsidP="00913CEB">
            <w:r>
              <w:t>In this lesson, students prepare for the End-of-Unit</w:t>
            </w:r>
            <w:r w:rsidR="00C07778">
              <w:t xml:space="preserve"> </w:t>
            </w:r>
            <w:r>
              <w:t>Assessment</w:t>
            </w:r>
            <w:r w:rsidR="00913CEB">
              <w:t xml:space="preserve"> by </w:t>
            </w:r>
            <w:r>
              <w:t>review</w:t>
            </w:r>
            <w:r w:rsidR="00913CEB">
              <w:t>ing</w:t>
            </w:r>
            <w:r>
              <w:t xml:space="preserve"> “Hangman” and “Solarium” from </w:t>
            </w:r>
            <w:r w:rsidRPr="003D3442">
              <w:rPr>
                <w:i/>
              </w:rPr>
              <w:t>Black Swan Green</w:t>
            </w:r>
            <w:r>
              <w:t xml:space="preserve"> and “Letter One” from </w:t>
            </w:r>
            <w:r w:rsidRPr="003D3442">
              <w:rPr>
                <w:i/>
              </w:rPr>
              <w:t>Letters to a Young Poet</w:t>
            </w:r>
            <w:r w:rsidR="00913CEB">
              <w:t xml:space="preserve">, </w:t>
            </w:r>
            <w:r>
              <w:t>trac</w:t>
            </w:r>
            <w:r w:rsidR="00913CEB">
              <w:t>ing</w:t>
            </w:r>
            <w:r>
              <w:t xml:space="preserve"> the development of central ideas in each text. Students then discuss how the texts address similar central ideas.</w:t>
            </w:r>
          </w:p>
        </w:tc>
      </w:tr>
      <w:tr w:rsidR="00444D4B" w:rsidRPr="001F7CAA" w14:paraId="6FD3DAD2" w14:textId="77777777" w:rsidTr="002806F0">
        <w:trPr>
          <w:cantSplit/>
        </w:trPr>
        <w:tc>
          <w:tcPr>
            <w:tcW w:w="0" w:type="auto"/>
            <w:shd w:val="clear" w:color="auto" w:fill="FFFFFF"/>
          </w:tcPr>
          <w:p w14:paraId="0B744F95" w14:textId="77777777" w:rsidR="00444D4B" w:rsidRPr="001F7CAA" w:rsidRDefault="00444D4B" w:rsidP="001F7CAA">
            <w:pPr>
              <w:pStyle w:val="TableText"/>
            </w:pPr>
            <w:r>
              <w:t>11</w:t>
            </w:r>
          </w:p>
        </w:tc>
        <w:tc>
          <w:tcPr>
            <w:tcW w:w="0" w:type="auto"/>
            <w:shd w:val="clear" w:color="auto" w:fill="FFFFFF"/>
          </w:tcPr>
          <w:p w14:paraId="081DC147" w14:textId="797C00C9" w:rsidR="00444D4B" w:rsidRPr="00444D4B" w:rsidRDefault="00163033" w:rsidP="001F7CAA">
            <w:pPr>
              <w:pStyle w:val="TableText"/>
              <w:rPr>
                <w:i/>
              </w:rPr>
            </w:pPr>
            <w:r>
              <w:rPr>
                <w:i/>
              </w:rPr>
              <w:t>Letters to a Young Poet</w:t>
            </w:r>
            <w:r>
              <w:t xml:space="preserve"> by Rainer Maria Rilke, “Letter One,” pp. 3–12</w:t>
            </w:r>
            <w:r>
              <w:rPr>
                <w:i/>
              </w:rPr>
              <w:t>, Black Swan Green</w:t>
            </w:r>
            <w:r>
              <w:t xml:space="preserve"> by David Mitchell, “Hangman” and “Solarium,” pp. 24–28 and 142–156</w:t>
            </w:r>
          </w:p>
        </w:tc>
        <w:tc>
          <w:tcPr>
            <w:tcW w:w="5724" w:type="dxa"/>
            <w:shd w:val="clear" w:color="auto" w:fill="FFFFFF"/>
          </w:tcPr>
          <w:p w14:paraId="3F104FD8" w14:textId="6DE0A373" w:rsidR="00444D4B" w:rsidRPr="001F7CAA" w:rsidRDefault="00444D4B" w:rsidP="00444D4B">
            <w:r w:rsidRPr="0066577F">
              <w:t xml:space="preserve">In this End-of-Unit Assessment, students craft a formal, multi-paragraph essay in response to the following prompt: </w:t>
            </w:r>
            <w:r>
              <w:rPr>
                <w:highlight w:val="white"/>
              </w:rPr>
              <w:t xml:space="preserve">Identify similar </w:t>
            </w:r>
            <w:r w:rsidRPr="0066577F">
              <w:rPr>
                <w:highlight w:val="white"/>
              </w:rPr>
              <w:t xml:space="preserve">central ideas in </w:t>
            </w:r>
            <w:r w:rsidRPr="00C27ECC">
              <w:rPr>
                <w:i/>
                <w:highlight w:val="white"/>
              </w:rPr>
              <w:t>Letters to a Young Poet</w:t>
            </w:r>
            <w:r w:rsidRPr="0066577F">
              <w:rPr>
                <w:highlight w:val="white"/>
              </w:rPr>
              <w:t xml:space="preserve"> and </w:t>
            </w:r>
            <w:r w:rsidRPr="0066577F">
              <w:rPr>
                <w:i/>
                <w:highlight w:val="white"/>
              </w:rPr>
              <w:t>Black Swan Green</w:t>
            </w:r>
            <w:r w:rsidRPr="0066577F">
              <w:rPr>
                <w:highlight w:val="white"/>
              </w:rPr>
              <w:t>. How do Rilke and Mitchell develop these similar ideas?</w:t>
            </w:r>
          </w:p>
        </w:tc>
      </w:tr>
    </w:tbl>
    <w:bookmarkEnd w:id="0"/>
    <w:p w14:paraId="2D7EA3D3" w14:textId="77777777" w:rsidR="00CC183D" w:rsidRDefault="00CC183D" w:rsidP="00CC183D">
      <w:pPr>
        <w:pStyle w:val="Heading1"/>
      </w:pPr>
      <w:r>
        <w:lastRenderedPageBreak/>
        <w:t>Preparation, Materials, and Resources</w:t>
      </w:r>
    </w:p>
    <w:p w14:paraId="6E5FA11A" w14:textId="77777777" w:rsidR="00CC183D" w:rsidRPr="008F708C" w:rsidRDefault="00CC183D" w:rsidP="00814C2B">
      <w:pPr>
        <w:keepNext/>
        <w:rPr>
          <w:b/>
        </w:rPr>
      </w:pPr>
      <w:r w:rsidRPr="008F708C">
        <w:rPr>
          <w:b/>
        </w:rPr>
        <w:t>Preparation</w:t>
      </w:r>
    </w:p>
    <w:p w14:paraId="65B45F46" w14:textId="616C4BCC" w:rsidR="00CC183D" w:rsidRPr="00317150" w:rsidRDefault="00CC183D" w:rsidP="00CC183D">
      <w:pPr>
        <w:pStyle w:val="BulletedList"/>
      </w:pPr>
      <w:r w:rsidRPr="007B5476">
        <w:t xml:space="preserve">Read and annotate </w:t>
      </w:r>
      <w:r w:rsidR="00317150">
        <w:t xml:space="preserve">“Letter One” from </w:t>
      </w:r>
      <w:r w:rsidR="00317150">
        <w:rPr>
          <w:i/>
        </w:rPr>
        <w:t>Letters to a Young Poet.</w:t>
      </w:r>
    </w:p>
    <w:p w14:paraId="42814C11" w14:textId="12A4BB36" w:rsidR="00317150" w:rsidRDefault="00317150" w:rsidP="00CC183D">
      <w:pPr>
        <w:pStyle w:val="BulletedList"/>
      </w:pPr>
      <w:r>
        <w:t xml:space="preserve">Read and annotate “Hangman” and “Solarium” from </w:t>
      </w:r>
      <w:r>
        <w:rPr>
          <w:i/>
        </w:rPr>
        <w:t>Black Swan Green.</w:t>
      </w:r>
    </w:p>
    <w:p w14:paraId="275C5D5C" w14:textId="532556DD" w:rsidR="00317150" w:rsidRDefault="00317150" w:rsidP="00CC183D">
      <w:pPr>
        <w:pStyle w:val="BulletedList"/>
      </w:pPr>
      <w:r>
        <w:t xml:space="preserve">Review </w:t>
      </w:r>
      <w:r w:rsidR="00814C2B">
        <w:t xml:space="preserve">the </w:t>
      </w:r>
      <w:r>
        <w:t>Short Response Rubric and Checklist.</w:t>
      </w:r>
    </w:p>
    <w:p w14:paraId="53B7F1F2" w14:textId="50A27873" w:rsidR="00CC183D" w:rsidRDefault="00CC183D" w:rsidP="00CC183D">
      <w:pPr>
        <w:pStyle w:val="BulletedList"/>
      </w:pPr>
      <w:r>
        <w:t xml:space="preserve">Review the </w:t>
      </w:r>
      <w:r w:rsidR="00317150">
        <w:t>9.1.2 Mid-Unit and End-of-Unit Text Analysis Rubrics and Checklists</w:t>
      </w:r>
      <w:r w:rsidR="00814C2B">
        <w:t>.</w:t>
      </w:r>
    </w:p>
    <w:p w14:paraId="52C9B1DF" w14:textId="5A8237C5" w:rsidR="00CC183D" w:rsidRDefault="00CC183D" w:rsidP="00CC183D">
      <w:pPr>
        <w:pStyle w:val="BulletedList"/>
      </w:pPr>
      <w:r>
        <w:t>Review all unit standards and post in classroom</w:t>
      </w:r>
      <w:r w:rsidR="00814C2B">
        <w:t>.</w:t>
      </w:r>
    </w:p>
    <w:p w14:paraId="47F98875" w14:textId="01DBF409" w:rsidR="00095ACF" w:rsidRDefault="00095ACF" w:rsidP="00095ACF">
      <w:pPr>
        <w:pStyle w:val="BulletedList"/>
      </w:pPr>
      <w:r>
        <w:t>Consider creating a word wall of the vocabulary provided in all lessons.</w:t>
      </w:r>
    </w:p>
    <w:p w14:paraId="1EB99380" w14:textId="77777777" w:rsidR="00CC183D" w:rsidRDefault="00CC183D" w:rsidP="00CC183D">
      <w:pPr>
        <w:rPr>
          <w:b/>
        </w:rPr>
      </w:pPr>
    </w:p>
    <w:p w14:paraId="505C6705" w14:textId="77777777" w:rsidR="00CC183D" w:rsidRPr="008F708C" w:rsidRDefault="00CC183D" w:rsidP="000A0D39">
      <w:pPr>
        <w:keepNext/>
        <w:rPr>
          <w:b/>
        </w:rPr>
      </w:pPr>
      <w:r w:rsidRPr="008F708C">
        <w:rPr>
          <w:b/>
        </w:rPr>
        <w:t>Materials</w:t>
      </w:r>
      <w:r>
        <w:rPr>
          <w:b/>
        </w:rPr>
        <w:t xml:space="preserve"> and </w:t>
      </w:r>
      <w:r w:rsidRPr="008F708C">
        <w:rPr>
          <w:b/>
        </w:rPr>
        <w:t>Resources</w:t>
      </w:r>
    </w:p>
    <w:p w14:paraId="03E91CA3" w14:textId="77777777" w:rsidR="00CC183D" w:rsidRDefault="00CC183D" w:rsidP="00CC183D">
      <w:pPr>
        <w:pStyle w:val="BulletedList"/>
      </w:pPr>
      <w:r w:rsidRPr="007B5476">
        <w:t>Copies of</w:t>
      </w:r>
      <w:r w:rsidR="00A46456">
        <w:t xml:space="preserve"> “Letter One” from</w:t>
      </w:r>
      <w:r>
        <w:t xml:space="preserve"> </w:t>
      </w:r>
      <w:r w:rsidR="00444D4B">
        <w:rPr>
          <w:i/>
        </w:rPr>
        <w:t xml:space="preserve">Letters to a Young Poet </w:t>
      </w:r>
      <w:r w:rsidR="00444D4B">
        <w:t>by Rainer Maria Rilke</w:t>
      </w:r>
    </w:p>
    <w:p w14:paraId="20FC4952" w14:textId="77777777" w:rsidR="00444D4B" w:rsidRDefault="00A46456" w:rsidP="00CC183D">
      <w:pPr>
        <w:pStyle w:val="BulletedList"/>
      </w:pPr>
      <w:r>
        <w:t xml:space="preserve">Copies of “Hangman” and “Solarium” from </w:t>
      </w:r>
      <w:r>
        <w:rPr>
          <w:i/>
        </w:rPr>
        <w:t>Black Swan Green</w:t>
      </w:r>
      <w:r>
        <w:t xml:space="preserve"> by David Mitchell</w:t>
      </w:r>
    </w:p>
    <w:p w14:paraId="099599CC" w14:textId="77777777" w:rsidR="00CC183D" w:rsidRPr="007B5476" w:rsidRDefault="00CC183D" w:rsidP="00CC183D">
      <w:pPr>
        <w:pStyle w:val="BulletedList"/>
      </w:pPr>
      <w:r w:rsidRPr="007B5476">
        <w:t>S</w:t>
      </w:r>
      <w:r>
        <w:t>elf-stick</w:t>
      </w:r>
      <w:r w:rsidRPr="007B5476">
        <w:t xml:space="preserve"> notes for students</w:t>
      </w:r>
    </w:p>
    <w:p w14:paraId="4B39D3C4" w14:textId="77777777" w:rsidR="00CC183D" w:rsidRPr="007B5476" w:rsidRDefault="00CC183D" w:rsidP="00CC183D">
      <w:pPr>
        <w:pStyle w:val="BulletedList"/>
      </w:pPr>
      <w:r w:rsidRPr="007B5476">
        <w:t>Writing utensils including pencils, pens, markers, and highlighters</w:t>
      </w:r>
    </w:p>
    <w:p w14:paraId="047DE9F0" w14:textId="77777777" w:rsidR="00CC183D" w:rsidRPr="007B5476" w:rsidRDefault="00CC183D" w:rsidP="00CC183D">
      <w:pPr>
        <w:pStyle w:val="BulletedList"/>
      </w:pPr>
      <w:r w:rsidRPr="007B5476">
        <w:t>Methods for collecting student work: student notebooks</w:t>
      </w:r>
      <w:r>
        <w:t>,</w:t>
      </w:r>
      <w:r w:rsidRPr="007B5476">
        <w:t xml:space="preserve"> folders</w:t>
      </w:r>
      <w:r>
        <w:t>, etc.</w:t>
      </w:r>
    </w:p>
    <w:p w14:paraId="6D844698" w14:textId="77777777" w:rsidR="00CC183D" w:rsidRPr="007B5476" w:rsidRDefault="00CC183D" w:rsidP="00CC183D">
      <w:pPr>
        <w:pStyle w:val="BulletedList"/>
      </w:pPr>
      <w:r w:rsidRPr="007B5476">
        <w:t>Access to technology (if possible): interactive whiteboard, document camera, and LCD projector</w:t>
      </w:r>
    </w:p>
    <w:p w14:paraId="06952E15" w14:textId="785180F0" w:rsidR="00CC183D" w:rsidRPr="007B5476" w:rsidRDefault="00CC183D" w:rsidP="00CC183D">
      <w:pPr>
        <w:pStyle w:val="BulletedList"/>
      </w:pPr>
      <w:r w:rsidRPr="007B5476">
        <w:t>Copies of handouts</w:t>
      </w:r>
      <w:r>
        <w:t xml:space="preserve"> and tools</w:t>
      </w:r>
      <w:r w:rsidRPr="007B5476">
        <w:t xml:space="preserve"> for each student: see </w:t>
      </w:r>
      <w:r>
        <w:t xml:space="preserve">materials list in </w:t>
      </w:r>
      <w:r w:rsidRPr="007B5476">
        <w:t>individual lesson plans</w:t>
      </w:r>
    </w:p>
    <w:p w14:paraId="24158EA8" w14:textId="64D896B9" w:rsidR="00CC183D" w:rsidRDefault="00CC183D" w:rsidP="00CC183D">
      <w:pPr>
        <w:pStyle w:val="BulletedList"/>
      </w:pPr>
      <w:r w:rsidRPr="007B5476">
        <w:t xml:space="preserve">Copies of the </w:t>
      </w:r>
      <w:r w:rsidR="00814C2B">
        <w:t xml:space="preserve">9.1.2 Mid-Unit and End-of-Unit </w:t>
      </w:r>
      <w:r w:rsidRPr="007B5476">
        <w:t>Text Analysis Rubric</w:t>
      </w:r>
      <w:r w:rsidR="00814C2B">
        <w:t>s</w:t>
      </w:r>
      <w:r w:rsidR="006A2CC3">
        <w:t xml:space="preserve"> and Checklist</w:t>
      </w:r>
      <w:r w:rsidR="00814C2B">
        <w:t>s</w:t>
      </w:r>
    </w:p>
    <w:p w14:paraId="6A0E9141" w14:textId="77777777" w:rsidR="00CC183D" w:rsidRDefault="00CC183D" w:rsidP="00CC183D">
      <w:pPr>
        <w:pStyle w:val="BulletedList"/>
      </w:pPr>
      <w:r>
        <w:t>Copies of the Short Response Rubric</w:t>
      </w:r>
      <w:r w:rsidR="006A2CC3">
        <w:t xml:space="preserve"> and Checklist</w:t>
      </w:r>
    </w:p>
    <w:p w14:paraId="07D0DE14" w14:textId="3D1C0379" w:rsidR="00766643" w:rsidRDefault="00766643" w:rsidP="00814C2B">
      <w:pPr>
        <w:pStyle w:val="BulletedList"/>
      </w:pPr>
      <w:r>
        <w:t xml:space="preserve">Copies of the 9.1 Common Core Learning Standards Tool </w:t>
      </w:r>
    </w:p>
    <w:p w14:paraId="72E4584A" w14:textId="72C78617" w:rsidR="00766643" w:rsidRDefault="00766643" w:rsidP="00814C2B">
      <w:pPr>
        <w:pStyle w:val="BulletedList"/>
      </w:pPr>
      <w:r>
        <w:t xml:space="preserve">Copies of the Central Ideas Tracking Tool </w:t>
      </w:r>
    </w:p>
    <w:p w14:paraId="76BE04B5" w14:textId="47366801" w:rsidR="00766643" w:rsidRDefault="00766643" w:rsidP="00814C2B">
      <w:pPr>
        <w:pStyle w:val="BulletedList"/>
      </w:pPr>
      <w:r>
        <w:t xml:space="preserve">Copies of the Character Tracking Tool </w:t>
      </w:r>
    </w:p>
    <w:sectPr w:rsidR="00766643"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C1CE" w14:textId="77777777" w:rsidR="00FA26DE" w:rsidRDefault="00FA26DE">
      <w:r>
        <w:separator/>
      </w:r>
    </w:p>
  </w:endnote>
  <w:endnote w:type="continuationSeparator" w:id="0">
    <w:p w14:paraId="1F0E1204" w14:textId="77777777" w:rsidR="00FA26DE" w:rsidRDefault="00FA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B032" w14:textId="77777777" w:rsidR="00DE3182" w:rsidRPr="00563CB8" w:rsidRDefault="00DE3182"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E3182" w14:paraId="6FFE5DCA" w14:textId="77777777">
      <w:trPr>
        <w:trHeight w:val="705"/>
      </w:trPr>
      <w:tc>
        <w:tcPr>
          <w:tcW w:w="4609" w:type="dxa"/>
          <w:tcBorders>
            <w:top w:val="single" w:sz="8" w:space="0" w:color="244061"/>
          </w:tcBorders>
          <w:vAlign w:val="center"/>
        </w:tcPr>
        <w:p w14:paraId="15BE2B75" w14:textId="509D8CFB" w:rsidR="00DE3182" w:rsidRPr="00CC183D" w:rsidRDefault="00DE3182" w:rsidP="00CC183D">
          <w:pPr>
            <w:pStyle w:val="FooterText"/>
            <w:rPr>
              <w:rFonts w:ascii="Calibri" w:hAnsi="Calibri"/>
            </w:rPr>
          </w:pPr>
          <w:r w:rsidRPr="00CC183D">
            <w:rPr>
              <w:rFonts w:ascii="Calibri" w:hAnsi="Calibri"/>
            </w:rPr>
            <w:t xml:space="preserve">File: </w:t>
          </w:r>
          <w:r w:rsidR="00B80785">
            <w:rPr>
              <w:rFonts w:ascii="Calibri" w:hAnsi="Calibri"/>
              <w:b w:val="0"/>
            </w:rPr>
            <w:t>9.1.2</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00CF2D29">
            <w:rPr>
              <w:rFonts w:ascii="Calibri" w:hAnsi="Calibri"/>
              <w:b w:val="0"/>
            </w:rPr>
            <w:t>, v2</w:t>
          </w:r>
          <w:r w:rsidRPr="00CC183D">
            <w:rPr>
              <w:rFonts w:ascii="Calibri" w:hAnsi="Calibri"/>
            </w:rPr>
            <w:t xml:space="preserve"> Date: </w:t>
          </w:r>
          <w:r w:rsidR="00814C2B">
            <w:rPr>
              <w:rFonts w:ascii="Calibri" w:hAnsi="Calibri"/>
              <w:b w:val="0"/>
            </w:rPr>
            <w:t>8</w:t>
          </w:r>
          <w:r w:rsidRPr="001B2DAB">
            <w:rPr>
              <w:rFonts w:ascii="Calibri" w:hAnsi="Calibri"/>
              <w:b w:val="0"/>
            </w:rPr>
            <w:t>/</w:t>
          </w:r>
          <w:r w:rsidR="00814C2B">
            <w:rPr>
              <w:rFonts w:ascii="Calibri" w:hAnsi="Calibri"/>
              <w:b w:val="0"/>
            </w:rPr>
            <w:t>31</w:t>
          </w:r>
          <w:r w:rsidRPr="001B2DAB">
            <w:rPr>
              <w:rFonts w:ascii="Calibri" w:hAnsi="Calibri"/>
              <w:b w:val="0"/>
            </w:rPr>
            <w:t>/14</w:t>
          </w:r>
          <w:r w:rsidRPr="00CC183D">
            <w:rPr>
              <w:rFonts w:ascii="Calibri" w:hAnsi="Calibri"/>
            </w:rPr>
            <w:t xml:space="preserve"> Classroom Use: </w:t>
          </w:r>
          <w:r>
            <w:rPr>
              <w:rFonts w:ascii="Calibri" w:hAnsi="Calibri"/>
              <w:b w:val="0"/>
            </w:rPr>
            <w:t xml:space="preserve">Starting </w:t>
          </w:r>
          <w:r w:rsidR="00814C2B">
            <w:rPr>
              <w:rFonts w:ascii="Calibri" w:hAnsi="Calibri"/>
              <w:b w:val="0"/>
            </w:rPr>
            <w:t>9</w:t>
          </w:r>
          <w:r w:rsidRPr="001B2DAB">
            <w:rPr>
              <w:rFonts w:ascii="Calibri" w:hAnsi="Calibri"/>
              <w:b w:val="0"/>
            </w:rPr>
            <w:t>/2014</w:t>
          </w:r>
          <w:r w:rsidRPr="00CC183D">
            <w:rPr>
              <w:rFonts w:ascii="Calibri" w:hAnsi="Calibri"/>
            </w:rPr>
            <w:t xml:space="preserve"> </w:t>
          </w:r>
        </w:p>
        <w:p w14:paraId="3B95F14F" w14:textId="77777777" w:rsidR="00DE3182" w:rsidRPr="001B2DAB" w:rsidRDefault="00DE3182"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14:paraId="02573A52" w14:textId="77777777" w:rsidR="00DE3182" w:rsidRPr="001B2DAB" w:rsidRDefault="00DE3182" w:rsidP="00CC183D">
          <w:pPr>
            <w:pStyle w:val="FooterText"/>
            <w:rPr>
              <w:rFonts w:ascii="Calibri" w:hAnsi="Calibri"/>
              <w:b w:val="0"/>
            </w:rPr>
          </w:pPr>
          <w:r w:rsidRPr="001B2DAB">
            <w:rPr>
              <w:rFonts w:ascii="Calibri" w:hAnsi="Calibri"/>
              <w:b w:val="0"/>
              <w:i/>
              <w:sz w:val="12"/>
            </w:rPr>
            <w:t>Creative Commons Attribution-</w:t>
          </w:r>
          <w:proofErr w:type="spellStart"/>
          <w:r w:rsidRPr="001B2DAB">
            <w:rPr>
              <w:rFonts w:ascii="Calibri" w:hAnsi="Calibri"/>
              <w:b w:val="0"/>
              <w:i/>
              <w:sz w:val="12"/>
            </w:rPr>
            <w:t>NonCommercial</w:t>
          </w:r>
          <w:proofErr w:type="spellEnd"/>
          <w:r w:rsidRPr="001B2DAB">
            <w:rPr>
              <w:rFonts w:ascii="Calibri" w:hAnsi="Calibri"/>
              <w:b w:val="0"/>
              <w:i/>
              <w:sz w:val="12"/>
            </w:rPr>
            <w:t>-</w:t>
          </w:r>
          <w:proofErr w:type="spellStart"/>
          <w:r w:rsidRPr="001B2DAB">
            <w:rPr>
              <w:rFonts w:ascii="Calibri" w:hAnsi="Calibri"/>
              <w:b w:val="0"/>
              <w:i/>
              <w:sz w:val="12"/>
            </w:rPr>
            <w:t>ShareAlike</w:t>
          </w:r>
          <w:proofErr w:type="spellEnd"/>
          <w:r w:rsidRPr="001B2DAB">
            <w:rPr>
              <w:rFonts w:ascii="Calibri" w:hAnsi="Calibri"/>
              <w:b w:val="0"/>
              <w:i/>
              <w:sz w:val="12"/>
            </w:rPr>
            <w:t xml:space="preserve"> 3.0 </w:t>
          </w:r>
          <w:proofErr w:type="spellStart"/>
          <w:r w:rsidRPr="001B2DAB">
            <w:rPr>
              <w:rFonts w:ascii="Calibri" w:hAnsi="Calibri"/>
              <w:b w:val="0"/>
              <w:i/>
              <w:sz w:val="12"/>
            </w:rPr>
            <w:t>Unported</w:t>
          </w:r>
          <w:proofErr w:type="spellEnd"/>
          <w:r w:rsidRPr="001B2DAB">
            <w:rPr>
              <w:rFonts w:ascii="Calibri" w:hAnsi="Calibri"/>
              <w:b w:val="0"/>
              <w:i/>
              <w:sz w:val="12"/>
            </w:rPr>
            <w:t xml:space="preserve"> License</w:t>
          </w:r>
        </w:p>
        <w:p w14:paraId="67650E5D" w14:textId="77777777" w:rsidR="00DE3182" w:rsidRPr="00CC183D" w:rsidRDefault="00FA26DE" w:rsidP="00CC183D">
          <w:pPr>
            <w:pStyle w:val="FooterText"/>
            <w:rPr>
              <w:rFonts w:ascii="Calibri" w:hAnsi="Calibri"/>
            </w:rPr>
          </w:pPr>
          <w:hyperlink r:id="rId1" w:history="1">
            <w:r w:rsidR="00DE3182"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2AE4F6EE" w14:textId="77777777" w:rsidR="00DE3182" w:rsidRPr="00714725" w:rsidRDefault="00DE3182"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2806F0">
            <w:rPr>
              <w:rFonts w:ascii="Calibri" w:eastAsia="Calibri" w:hAnsi="Calibri" w:cs="Calibri"/>
              <w:b/>
              <w:noProof/>
              <w:color w:val="1F4E79"/>
              <w:sz w:val="28"/>
              <w:lang w:val="en-US"/>
            </w:rPr>
            <w:t>1</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14:paraId="2CE1DD95" w14:textId="4DC925EF" w:rsidR="00DE3182" w:rsidRPr="00714725" w:rsidRDefault="00CF2D29"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sidRPr="00CF2D29">
            <w:rPr>
              <w:rFonts w:ascii="Calibri" w:eastAsia="Calibri" w:hAnsi="Calibri" w:cs="Calibri"/>
              <w:b/>
              <w:noProof/>
              <w:sz w:val="12"/>
              <w:szCs w:val="12"/>
              <w:lang w:val="en-US"/>
            </w:rPr>
            <w:pict w14:anchorId="0F79C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49.5pt;visibility:visible;mso-wrap-style:square">
                <v:imagedata r:id="rId2" o:title="PCG-CC-NY"/>
              </v:shape>
            </w:pict>
          </w:r>
        </w:p>
      </w:tc>
    </w:tr>
  </w:tbl>
  <w:p w14:paraId="0C610539" w14:textId="77777777" w:rsidR="00DE3182" w:rsidRPr="00677A89" w:rsidRDefault="00DE3182"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D8D4" w14:textId="77777777" w:rsidR="00FA26DE" w:rsidRDefault="00FA26DE">
      <w:r>
        <w:separator/>
      </w:r>
    </w:p>
  </w:footnote>
  <w:footnote w:type="continuationSeparator" w:id="0">
    <w:p w14:paraId="69030E08" w14:textId="77777777" w:rsidR="00FA26DE" w:rsidRDefault="00FA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618"/>
      <w:gridCol w:w="2880"/>
      <w:gridCol w:w="3240"/>
    </w:tblGrid>
    <w:tr w:rsidR="00DE3182" w14:paraId="05D3F30A" w14:textId="77777777" w:rsidTr="00FD514A">
      <w:tc>
        <w:tcPr>
          <w:tcW w:w="3618" w:type="dxa"/>
        </w:tcPr>
        <w:p w14:paraId="4474E90E" w14:textId="77777777" w:rsidR="00DE3182" w:rsidRPr="00CC183D" w:rsidRDefault="00DE3182" w:rsidP="001B2DAB">
          <w:pPr>
            <w:pStyle w:val="PageHeader"/>
          </w:pPr>
          <w:r w:rsidRPr="00CC183D">
            <w:t>NYS Common Core ELA &amp; Literacy Curriculum</w:t>
          </w:r>
        </w:p>
      </w:tc>
      <w:tc>
        <w:tcPr>
          <w:tcW w:w="2880" w:type="dxa"/>
          <w:vAlign w:val="center"/>
        </w:tcPr>
        <w:p w14:paraId="541D9680" w14:textId="77777777" w:rsidR="00DE3182" w:rsidRPr="001B2DAB" w:rsidRDefault="00DE3182" w:rsidP="001B2DAB">
          <w:pPr>
            <w:jc w:val="center"/>
          </w:pPr>
          <w:r w:rsidRPr="001B2DAB">
            <w:t>D R A F T</w:t>
          </w:r>
        </w:p>
      </w:tc>
      <w:tc>
        <w:tcPr>
          <w:tcW w:w="3240" w:type="dxa"/>
        </w:tcPr>
        <w:p w14:paraId="0E23933B" w14:textId="3F190E1A" w:rsidR="00DE3182" w:rsidRPr="001B2DAB" w:rsidRDefault="00DE3182" w:rsidP="00E75803">
          <w:pPr>
            <w:pStyle w:val="PageHeader"/>
            <w:rPr>
              <w:b w:val="0"/>
            </w:rPr>
          </w:pPr>
          <w:r w:rsidRPr="001B2DAB">
            <w:rPr>
              <w:b w:val="0"/>
            </w:rPr>
            <w:t xml:space="preserve">Grade </w:t>
          </w:r>
          <w:r>
            <w:rPr>
              <w:b w:val="0"/>
            </w:rPr>
            <w:t>9</w:t>
          </w:r>
          <w:r w:rsidRPr="001B2DAB">
            <w:rPr>
              <w:b w:val="0"/>
            </w:rPr>
            <w:t xml:space="preserve"> • Module </w:t>
          </w:r>
          <w:r>
            <w:rPr>
              <w:b w:val="0"/>
            </w:rPr>
            <w:t>1</w:t>
          </w:r>
          <w:r w:rsidRPr="001B2DAB">
            <w:rPr>
              <w:b w:val="0"/>
            </w:rPr>
            <w:t xml:space="preserve"> • Unit </w:t>
          </w:r>
          <w:r>
            <w:rPr>
              <w:b w:val="0"/>
            </w:rPr>
            <w:t>2</w:t>
          </w:r>
          <w:r w:rsidRPr="001B2DAB">
            <w:rPr>
              <w:b w:val="0"/>
            </w:rPr>
            <w:t xml:space="preserve"> Overview</w:t>
          </w:r>
        </w:p>
      </w:tc>
    </w:tr>
  </w:tbl>
  <w:p w14:paraId="2F1F6761" w14:textId="77777777" w:rsidR="00DE3182" w:rsidRDefault="00DE3182"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6A0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93F8A"/>
    <w:multiLevelType w:val="multilevel"/>
    <w:tmpl w:val="D706974C"/>
    <w:lvl w:ilvl="0">
      <w:start w:val="3"/>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C2ACE"/>
    <w:multiLevelType w:val="hybridMultilevel"/>
    <w:tmpl w:val="6B0E608E"/>
    <w:lvl w:ilvl="0" w:tplc="942A85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B953BE"/>
    <w:multiLevelType w:val="hybridMultilevel"/>
    <w:tmpl w:val="0F8C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25329"/>
    <w:multiLevelType w:val="hybridMultilevel"/>
    <w:tmpl w:val="F8521D22"/>
    <w:lvl w:ilvl="0" w:tplc="2AAA4966">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A707B9E"/>
    <w:multiLevelType w:val="multilevel"/>
    <w:tmpl w:val="B72E0872"/>
    <w:lvl w:ilvl="0">
      <w:start w:val="1"/>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2ADC6CE9"/>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D375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CD85C13"/>
    <w:multiLevelType w:val="hybridMultilevel"/>
    <w:tmpl w:val="22C8DE6A"/>
    <w:lvl w:ilvl="0" w:tplc="70225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01679"/>
    <w:multiLevelType w:val="hybridMultilevel"/>
    <w:tmpl w:val="93DE39FE"/>
    <w:lvl w:ilvl="0" w:tplc="719254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01B76"/>
    <w:multiLevelType w:val="multilevel"/>
    <w:tmpl w:val="6B447E38"/>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6">
    <w:nsid w:val="4C0357F8"/>
    <w:multiLevelType w:val="multilevel"/>
    <w:tmpl w:val="7C3CACF6"/>
    <w:lvl w:ilvl="0">
      <w:start w:val="1"/>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CCB52C9"/>
    <w:multiLevelType w:val="multilevel"/>
    <w:tmpl w:val="6E70180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8">
    <w:nsid w:val="4DDA74D1"/>
    <w:multiLevelType w:val="multilevel"/>
    <w:tmpl w:val="80C0B00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9">
    <w:nsid w:val="4F984666"/>
    <w:multiLevelType w:val="multilevel"/>
    <w:tmpl w:val="FB42BEC6"/>
    <w:lvl w:ilvl="0">
      <w:start w:val="3"/>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2DF7E49"/>
    <w:multiLevelType w:val="multilevel"/>
    <w:tmpl w:val="F1342012"/>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1">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606A2E"/>
    <w:multiLevelType w:val="multilevel"/>
    <w:tmpl w:val="7FF0ACD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033CC"/>
    <w:multiLevelType w:val="hybridMultilevel"/>
    <w:tmpl w:val="AB289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D877A2"/>
    <w:multiLevelType w:val="multilevel"/>
    <w:tmpl w:val="B3BCE87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32FC2"/>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1732A"/>
    <w:multiLevelType w:val="hybridMultilevel"/>
    <w:tmpl w:val="FBC8CD4A"/>
    <w:lvl w:ilvl="0" w:tplc="7B9449D6">
      <w:start w:val="1"/>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5A6728"/>
    <w:multiLevelType w:val="hybridMultilevel"/>
    <w:tmpl w:val="9ED623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4660D5"/>
    <w:multiLevelType w:val="hybridMultilevel"/>
    <w:tmpl w:val="34B0BCF4"/>
    <w:lvl w:ilvl="0" w:tplc="8E3063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0"/>
  </w:num>
  <w:num w:numId="4">
    <w:abstractNumId w:val="21"/>
  </w:num>
  <w:num w:numId="5">
    <w:abstractNumId w:val="15"/>
  </w:num>
  <w:num w:numId="6">
    <w:abstractNumId w:val="23"/>
  </w:num>
  <w:num w:numId="7">
    <w:abstractNumId w:val="27"/>
  </w:num>
  <w:num w:numId="8">
    <w:abstractNumId w:val="13"/>
  </w:num>
  <w:num w:numId="9">
    <w:abstractNumId w:val="9"/>
  </w:num>
  <w:num w:numId="10">
    <w:abstractNumId w:val="22"/>
  </w:num>
  <w:num w:numId="11">
    <w:abstractNumId w:val="2"/>
  </w:num>
  <w:num w:numId="12">
    <w:abstractNumId w:val="26"/>
  </w:num>
  <w:num w:numId="13">
    <w:abstractNumId w:val="8"/>
    <w:lvlOverride w:ilvl="0">
      <w:startOverride w:val="1"/>
    </w:lvlOverride>
  </w:num>
  <w:num w:numId="14">
    <w:abstractNumId w:val="28"/>
  </w:num>
  <w:num w:numId="15">
    <w:abstractNumId w:val="4"/>
  </w:num>
  <w:num w:numId="16">
    <w:abstractNumId w:val="24"/>
  </w:num>
  <w:num w:numId="17">
    <w:abstractNumId w:val="6"/>
  </w:num>
  <w:num w:numId="18">
    <w:abstractNumId w:val="31"/>
  </w:num>
  <w:num w:numId="19">
    <w:abstractNumId w:val="10"/>
  </w:num>
  <w:num w:numId="20">
    <w:abstractNumId w:val="29"/>
  </w:num>
  <w:num w:numId="21">
    <w:abstractNumId w:val="12"/>
  </w:num>
  <w:num w:numId="22">
    <w:abstractNumId w:val="0"/>
  </w:num>
  <w:num w:numId="23">
    <w:abstractNumId w:val="3"/>
  </w:num>
  <w:num w:numId="24">
    <w:abstractNumId w:val="32"/>
  </w:num>
  <w:num w:numId="25">
    <w:abstractNumId w:val="25"/>
  </w:num>
  <w:num w:numId="26">
    <w:abstractNumId w:val="5"/>
  </w:num>
  <w:num w:numId="27">
    <w:abstractNumId w:val="14"/>
  </w:num>
  <w:num w:numId="28">
    <w:abstractNumId w:val="30"/>
  </w:num>
  <w:num w:numId="29">
    <w:abstractNumId w:val="11"/>
  </w:num>
  <w:num w:numId="30">
    <w:abstractNumId w:val="30"/>
    <w:lvlOverride w:ilvl="0">
      <w:startOverride w:val="6"/>
    </w:lvlOverride>
  </w:num>
  <w:num w:numId="31">
    <w:abstractNumId w:val="7"/>
  </w:num>
  <w:num w:numId="32">
    <w:abstractNumId w:val="30"/>
  </w:num>
  <w:num w:numId="33">
    <w:abstractNumId w:val="16"/>
  </w:num>
  <w:num w:numId="34">
    <w:abstractNumId w:val="30"/>
    <w:lvlOverride w:ilvl="0">
      <w:startOverride w:val="2"/>
    </w:lvlOverride>
  </w:num>
  <w:num w:numId="35">
    <w:abstractNumId w:val="19"/>
  </w:num>
  <w:num w:numId="36">
    <w:abstractNumId w:val="30"/>
    <w:lvlOverride w:ilvl="0">
      <w:startOverride w:val="1"/>
    </w:lvlOverride>
  </w:num>
  <w:num w:numId="37">
    <w:abstractNumId w:val="1"/>
  </w:num>
  <w:num w:numId="38">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C94"/>
    <w:rsid w:val="0001414E"/>
    <w:rsid w:val="0004227C"/>
    <w:rsid w:val="00055CA6"/>
    <w:rsid w:val="00092A63"/>
    <w:rsid w:val="00095ACF"/>
    <w:rsid w:val="000A0D39"/>
    <w:rsid w:val="000B0510"/>
    <w:rsid w:val="000D5259"/>
    <w:rsid w:val="00101D07"/>
    <w:rsid w:val="00136348"/>
    <w:rsid w:val="0015083C"/>
    <w:rsid w:val="00155F91"/>
    <w:rsid w:val="00163033"/>
    <w:rsid w:val="00176584"/>
    <w:rsid w:val="001B2DAB"/>
    <w:rsid w:val="001D2E0D"/>
    <w:rsid w:val="001F7CAA"/>
    <w:rsid w:val="0020362C"/>
    <w:rsid w:val="002806F0"/>
    <w:rsid w:val="0028287D"/>
    <w:rsid w:val="00285B7F"/>
    <w:rsid w:val="00317150"/>
    <w:rsid w:val="003355FF"/>
    <w:rsid w:val="003664E1"/>
    <w:rsid w:val="0037345D"/>
    <w:rsid w:val="00390801"/>
    <w:rsid w:val="00395CC0"/>
    <w:rsid w:val="003C06B5"/>
    <w:rsid w:val="003E75C2"/>
    <w:rsid w:val="00401E53"/>
    <w:rsid w:val="00426E6D"/>
    <w:rsid w:val="00437454"/>
    <w:rsid w:val="0044382D"/>
    <w:rsid w:val="00444D4B"/>
    <w:rsid w:val="00456406"/>
    <w:rsid w:val="00506BD0"/>
    <w:rsid w:val="00513B10"/>
    <w:rsid w:val="00561891"/>
    <w:rsid w:val="0057310F"/>
    <w:rsid w:val="005D16B3"/>
    <w:rsid w:val="005E1BC1"/>
    <w:rsid w:val="005E59CC"/>
    <w:rsid w:val="006A2CC3"/>
    <w:rsid w:val="006C611A"/>
    <w:rsid w:val="006E4C90"/>
    <w:rsid w:val="006E5D59"/>
    <w:rsid w:val="00714725"/>
    <w:rsid w:val="00717680"/>
    <w:rsid w:val="00737188"/>
    <w:rsid w:val="00766643"/>
    <w:rsid w:val="007A12D1"/>
    <w:rsid w:val="007F04B0"/>
    <w:rsid w:val="008006FF"/>
    <w:rsid w:val="00814C2B"/>
    <w:rsid w:val="00836C4C"/>
    <w:rsid w:val="0089531E"/>
    <w:rsid w:val="008A039E"/>
    <w:rsid w:val="008E3951"/>
    <w:rsid w:val="008F1463"/>
    <w:rsid w:val="00913CEB"/>
    <w:rsid w:val="00926A39"/>
    <w:rsid w:val="009675C5"/>
    <w:rsid w:val="00977963"/>
    <w:rsid w:val="00A143C6"/>
    <w:rsid w:val="00A32DB0"/>
    <w:rsid w:val="00A46456"/>
    <w:rsid w:val="00A82D14"/>
    <w:rsid w:val="00AA3A60"/>
    <w:rsid w:val="00AC73C5"/>
    <w:rsid w:val="00AD5D2F"/>
    <w:rsid w:val="00AF57A9"/>
    <w:rsid w:val="00B42625"/>
    <w:rsid w:val="00B44884"/>
    <w:rsid w:val="00B80785"/>
    <w:rsid w:val="00BB004C"/>
    <w:rsid w:val="00BB100F"/>
    <w:rsid w:val="00BB196E"/>
    <w:rsid w:val="00BE6AC1"/>
    <w:rsid w:val="00C07778"/>
    <w:rsid w:val="00C2342B"/>
    <w:rsid w:val="00C269D0"/>
    <w:rsid w:val="00C46F19"/>
    <w:rsid w:val="00C86FB8"/>
    <w:rsid w:val="00CC183D"/>
    <w:rsid w:val="00CF2D29"/>
    <w:rsid w:val="00D7036D"/>
    <w:rsid w:val="00D87C94"/>
    <w:rsid w:val="00DB1943"/>
    <w:rsid w:val="00DD20D0"/>
    <w:rsid w:val="00DD60D9"/>
    <w:rsid w:val="00DE0416"/>
    <w:rsid w:val="00DE3182"/>
    <w:rsid w:val="00E75803"/>
    <w:rsid w:val="00E85F86"/>
    <w:rsid w:val="00E864E2"/>
    <w:rsid w:val="00ED59A2"/>
    <w:rsid w:val="00F352EF"/>
    <w:rsid w:val="00F52E12"/>
    <w:rsid w:val="00F61E99"/>
    <w:rsid w:val="00F737D5"/>
    <w:rsid w:val="00FA26DE"/>
    <w:rsid w:val="00FB4867"/>
    <w:rsid w:val="00FD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CDD6A"/>
  <w15:docId w15:val="{E3598DAA-8452-4992-81E6-5C7EE075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ColorfulShading-Accent11">
    <w:name w:val="Colorful Shading - Accent 1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0"/>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11"/>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12"/>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13"/>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14"/>
      </w:numPr>
      <w:spacing w:before="120" w:line="276" w:lineRule="auto"/>
    </w:pPr>
    <w:rPr>
      <w:rFonts w:eastAsia="Times New Roman"/>
      <w:sz w:val="22"/>
      <w:szCs w:val="22"/>
    </w:rPr>
  </w:style>
  <w:style w:type="paragraph" w:customStyle="1" w:styleId="SASRBullet">
    <w:name w:val="*SA/SR Bullet"/>
    <w:basedOn w:val="Normal"/>
    <w:qFormat/>
    <w:rsid w:val="00A10227"/>
    <w:pPr>
      <w:numPr>
        <w:ilvl w:val="1"/>
        <w:numId w:val="15"/>
      </w:numPr>
      <w:spacing w:before="120"/>
      <w:contextualSpacing/>
    </w:pPr>
  </w:style>
  <w:style w:type="paragraph" w:customStyle="1" w:styleId="SR">
    <w:name w:val="*SR*"/>
    <w:qFormat/>
    <w:rsid w:val="00A10227"/>
    <w:pPr>
      <w:numPr>
        <w:numId w:val="16"/>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ColorfulList-Accent11">
    <w:name w:val="Colorful List - Accent 1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lang w:val="en-US" w:eastAsia="en-US" w:bidi="ar-SA"/>
    </w:rPr>
  </w:style>
  <w:style w:type="character" w:customStyle="1" w:styleId="TableHeadersChar">
    <w:name w:val="*TableHeaders Char"/>
    <w:link w:val="TableHeaders"/>
    <w:rsid w:val="001B2DAB"/>
    <w:rPr>
      <w:rFonts w:eastAsia="Calibri"/>
      <w:b/>
      <w:color w:val="FFFFFF"/>
      <w:sz w:val="22"/>
      <w:szCs w:val="22"/>
    </w:rPr>
  </w:style>
  <w:style w:type="paragraph" w:styleId="Revision">
    <w:name w:val="Revision"/>
    <w:hidden/>
    <w:uiPriority w:val="99"/>
    <w:semiHidden/>
    <w:rsid w:val="00285B7F"/>
    <w:rPr>
      <w:rFonts w:eastAsia="Calibri"/>
      <w:sz w:val="22"/>
      <w:szCs w:val="22"/>
    </w:rPr>
  </w:style>
  <w:style w:type="paragraph" w:styleId="NoSpacing">
    <w:name w:val="No Spacing"/>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8006FF"/>
    <w:pPr>
      <w:numPr>
        <w:numId w:val="32"/>
      </w:numPr>
    </w:pPr>
  </w:style>
  <w:style w:type="character" w:customStyle="1" w:styleId="SubStandardChar">
    <w:name w:val="*SubStandard Char"/>
    <w:link w:val="SubStandard"/>
    <w:rsid w:val="008006FF"/>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cp:lastPrinted>2014-01-31T23:04:00Z</cp:lastPrinted>
  <dcterms:created xsi:type="dcterms:W3CDTF">2014-08-30T06:58:00Z</dcterms:created>
  <dcterms:modified xsi:type="dcterms:W3CDTF">2014-08-30T07:00:00Z</dcterms:modified>
</cp:coreProperties>
</file>