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2"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5"/>
        <w:gridCol w:w="7417"/>
      </w:tblGrid>
      <w:tr w:rsidR="00790BCC" w:rsidRPr="00790BCC" w14:paraId="076BA5BC" w14:textId="77777777" w:rsidTr="00320094">
        <w:trPr>
          <w:trHeight w:val="1020"/>
        </w:trPr>
        <w:tc>
          <w:tcPr>
            <w:tcW w:w="1985" w:type="dxa"/>
            <w:shd w:val="clear" w:color="auto" w:fill="385623"/>
            <w:vAlign w:val="center"/>
          </w:tcPr>
          <w:p w14:paraId="00BC7E9A" w14:textId="77777777" w:rsidR="00790BCC" w:rsidRPr="00D31F4D" w:rsidRDefault="00A8487C" w:rsidP="00D31F4D">
            <w:pPr>
              <w:pStyle w:val="Header-banner"/>
              <w:rPr>
                <w:rFonts w:asciiTheme="minorHAnsi" w:hAnsiTheme="minorHAnsi"/>
              </w:rPr>
            </w:pPr>
            <w:r>
              <w:rPr>
                <w:rFonts w:asciiTheme="minorHAnsi" w:hAnsiTheme="minorHAnsi"/>
              </w:rPr>
              <w:t>9.1</w:t>
            </w:r>
            <w:r w:rsidR="00790BCC" w:rsidRPr="00D31F4D">
              <w:rPr>
                <w:rFonts w:asciiTheme="minorHAnsi" w:hAnsiTheme="minorHAnsi"/>
              </w:rPr>
              <w:t>.</w:t>
            </w:r>
            <w:r>
              <w:rPr>
                <w:rFonts w:asciiTheme="minorHAnsi" w:hAnsiTheme="minorHAnsi"/>
              </w:rPr>
              <w:t>2</w:t>
            </w:r>
          </w:p>
        </w:tc>
        <w:tc>
          <w:tcPr>
            <w:tcW w:w="7417" w:type="dxa"/>
            <w:shd w:val="clear" w:color="auto" w:fill="76923C"/>
            <w:vAlign w:val="center"/>
          </w:tcPr>
          <w:p w14:paraId="5A51991C"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383F54">
              <w:rPr>
                <w:rFonts w:asciiTheme="minorHAnsi" w:hAnsiTheme="minorHAnsi"/>
              </w:rPr>
              <w:t>5</w:t>
            </w:r>
          </w:p>
        </w:tc>
      </w:tr>
    </w:tbl>
    <w:p w14:paraId="47C1E514" w14:textId="77777777" w:rsidR="00790BCC" w:rsidRPr="00790BCC" w:rsidRDefault="00790BCC" w:rsidP="00D31F4D">
      <w:pPr>
        <w:pStyle w:val="Heading1"/>
      </w:pPr>
      <w:r w:rsidRPr="00790BCC">
        <w:t>Introduction</w:t>
      </w:r>
    </w:p>
    <w:p w14:paraId="747E0A8D" w14:textId="2384DF59" w:rsidR="004A4C64" w:rsidRDefault="00A8487C" w:rsidP="000F2111">
      <w:r>
        <w:t xml:space="preserve">In this lesson, students </w:t>
      </w:r>
      <w:r w:rsidR="00383F54">
        <w:t xml:space="preserve">read an excerpt from the “Hangman” chapter of David Mitchell’s </w:t>
      </w:r>
      <w:r w:rsidR="00383F54">
        <w:rPr>
          <w:i/>
        </w:rPr>
        <w:t>Black Swan Green</w:t>
      </w:r>
      <w:r w:rsidR="002A762D">
        <w:t>,</w:t>
      </w:r>
      <w:r w:rsidR="00B90D09">
        <w:rPr>
          <w:i/>
        </w:rPr>
        <w:t xml:space="preserve"> </w:t>
      </w:r>
      <w:r w:rsidR="00B90D09">
        <w:t>p</w:t>
      </w:r>
      <w:r w:rsidR="00DB5E94">
        <w:t xml:space="preserve">ages </w:t>
      </w:r>
      <w:r w:rsidR="00B90D09">
        <w:t>24</w:t>
      </w:r>
      <w:r w:rsidR="002A762D">
        <w:t>–</w:t>
      </w:r>
      <w:r w:rsidR="00B90D09">
        <w:t>26</w:t>
      </w:r>
      <w:r w:rsidR="002A762D">
        <w:t xml:space="preserve"> </w:t>
      </w:r>
      <w:r w:rsidRPr="00551BB2">
        <w:t>(from “</w:t>
      </w:r>
      <w:r w:rsidR="00383F54">
        <w:t>So anyway, Mum dropped me at Malvern Link</w:t>
      </w:r>
      <w:r w:rsidRPr="00551BB2">
        <w:t>” to “</w:t>
      </w:r>
      <w:r w:rsidR="00DB5E94">
        <w:t xml:space="preserve">the speech therapist at Malvern Link clinic. </w:t>
      </w:r>
      <w:r w:rsidR="00383F54">
        <w:t>That was five years ago</w:t>
      </w:r>
      <w:r w:rsidRPr="00551BB2">
        <w:t>”)</w:t>
      </w:r>
      <w:r w:rsidR="004959DD">
        <w:t>,</w:t>
      </w:r>
      <w:r w:rsidRPr="00551BB2">
        <w:t xml:space="preserve"> </w:t>
      </w:r>
      <w:r w:rsidR="00B90D09">
        <w:t xml:space="preserve">in which Jason Taylor, the narrator, </w:t>
      </w:r>
      <w:r w:rsidR="0021315A">
        <w:t>discusses</w:t>
      </w:r>
      <w:r w:rsidR="00EE757F">
        <w:t xml:space="preserve"> his </w:t>
      </w:r>
      <w:r w:rsidR="0021315A">
        <w:t>struggle with stammering</w:t>
      </w:r>
      <w:r>
        <w:t xml:space="preserve">. Students investigate </w:t>
      </w:r>
      <w:r w:rsidR="00EE757F">
        <w:t>the cumulative impact of specific word choices on meaning and tone</w:t>
      </w:r>
      <w:r>
        <w:t xml:space="preserve">. Student </w:t>
      </w:r>
      <w:r w:rsidRPr="000F2111">
        <w:t xml:space="preserve">learning </w:t>
      </w:r>
      <w:r w:rsidR="000F2111" w:rsidRPr="000F2111">
        <w:t>is assessed via a Quick Write at the end of the lesson</w:t>
      </w:r>
      <w:r>
        <w:t xml:space="preserve">: </w:t>
      </w:r>
      <w:r w:rsidR="00EE757F">
        <w:t>What is the cumulative impact of Mitchell’s specific word choices on meaning and tone in this excerpt?</w:t>
      </w:r>
    </w:p>
    <w:p w14:paraId="2267BEB5" w14:textId="38D5839C" w:rsidR="0056255E" w:rsidRPr="00061DE0" w:rsidRDefault="000422BF" w:rsidP="000F2111">
      <w:r w:rsidRPr="00061DE0">
        <w:t>For homework, students</w:t>
      </w:r>
      <w:r w:rsidR="006C4785" w:rsidRPr="000F2111">
        <w:rPr>
          <w:rFonts w:cs="Calibri"/>
          <w:color w:val="000000"/>
        </w:rPr>
        <w:t xml:space="preserve"> write a paragraph in response to the following prompt: How does Jason’s tone in this passage develop his character?</w:t>
      </w:r>
      <w:r w:rsidRPr="00061DE0">
        <w:t xml:space="preserve"> </w:t>
      </w:r>
      <w:r w:rsidR="002B5921" w:rsidRPr="00061DE0">
        <w:t>S</w:t>
      </w:r>
      <w:r w:rsidR="0056255E" w:rsidRPr="00061DE0">
        <w:t xml:space="preserve">tudents </w:t>
      </w:r>
      <w:r w:rsidR="004612E7" w:rsidRPr="00061DE0">
        <w:t xml:space="preserve">also </w:t>
      </w:r>
      <w:r w:rsidR="0056255E" w:rsidRPr="00061DE0">
        <w:t xml:space="preserve">continue to read their Accountable Independent Reading </w:t>
      </w:r>
      <w:r w:rsidR="002A762D">
        <w:t xml:space="preserve">(AIR) </w:t>
      </w:r>
      <w:r w:rsidR="0056255E" w:rsidRPr="00061DE0">
        <w:t xml:space="preserve">text through the lens of focus standard </w:t>
      </w:r>
      <w:r w:rsidR="0021315A" w:rsidRPr="00061DE0">
        <w:t>RL.9-10.3 or RI.9-10.</w:t>
      </w:r>
      <w:r w:rsidR="00D976C4">
        <w:t>3</w:t>
      </w:r>
      <w:r w:rsidR="0056255E" w:rsidRPr="00061DE0">
        <w:t xml:space="preserve"> and prepare for a </w:t>
      </w:r>
      <w:r w:rsidR="0068331D">
        <w:t xml:space="preserve">3–5 </w:t>
      </w:r>
      <w:r w:rsidR="0056255E" w:rsidRPr="00061DE0">
        <w:t>minute discussion of their text based on that standard.</w:t>
      </w:r>
    </w:p>
    <w:p w14:paraId="010BE66C" w14:textId="77777777" w:rsidR="00790BCC" w:rsidRPr="00790BCC" w:rsidRDefault="00790BCC" w:rsidP="0068331D">
      <w:pPr>
        <w:pStyle w:val="Heading1"/>
        <w:spacing w:before="400"/>
      </w:pPr>
      <w:r w:rsidRPr="00790BCC">
        <w:t xml:space="preserve">Standards </w:t>
      </w:r>
    </w:p>
    <w:tbl>
      <w:tblPr>
        <w:tblW w:w="940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2"/>
        <w:gridCol w:w="8079"/>
      </w:tblGrid>
      <w:tr w:rsidR="00790BCC" w:rsidRPr="00790BCC" w14:paraId="71F077F4" w14:textId="77777777" w:rsidTr="00320094">
        <w:trPr>
          <w:trHeight w:val="365"/>
        </w:trPr>
        <w:tc>
          <w:tcPr>
            <w:tcW w:w="9401" w:type="dxa"/>
            <w:gridSpan w:val="2"/>
            <w:shd w:val="clear" w:color="auto" w:fill="76923C"/>
          </w:tcPr>
          <w:p w14:paraId="40936758" w14:textId="77777777" w:rsidR="00790BCC" w:rsidRPr="00790BCC" w:rsidRDefault="00790BCC" w:rsidP="007017EB">
            <w:pPr>
              <w:pStyle w:val="TableHeaders"/>
            </w:pPr>
            <w:r w:rsidRPr="00790BCC">
              <w:t>Assessed Standard(s)</w:t>
            </w:r>
          </w:p>
        </w:tc>
      </w:tr>
      <w:tr w:rsidR="00790BCC" w:rsidRPr="00790BCC" w14:paraId="585B8D4D" w14:textId="77777777" w:rsidTr="00320094">
        <w:trPr>
          <w:trHeight w:val="1370"/>
        </w:trPr>
        <w:tc>
          <w:tcPr>
            <w:tcW w:w="1322" w:type="dxa"/>
          </w:tcPr>
          <w:p w14:paraId="3136C0E8" w14:textId="77777777" w:rsidR="00790BCC" w:rsidRPr="00790BCC" w:rsidRDefault="00EE757F" w:rsidP="00D31F4D">
            <w:pPr>
              <w:pStyle w:val="TableText"/>
            </w:pPr>
            <w:r>
              <w:t>RL</w:t>
            </w:r>
            <w:r w:rsidR="00A8487C" w:rsidRPr="001B3896">
              <w:t>.9-10.</w:t>
            </w:r>
            <w:r>
              <w:t>4</w:t>
            </w:r>
          </w:p>
        </w:tc>
        <w:tc>
          <w:tcPr>
            <w:tcW w:w="8079" w:type="dxa"/>
          </w:tcPr>
          <w:p w14:paraId="1C934219" w14:textId="77777777" w:rsidR="00790BCC" w:rsidRPr="000F2111" w:rsidRDefault="00EE757F" w:rsidP="000F2111">
            <w:pPr>
              <w:pStyle w:val="TableText"/>
            </w:pPr>
            <w:r w:rsidRPr="000F2111">
              <w:t>Determine the meaning of words and phrases as they are used in the text, including figurative and connotative meanings; analyze the cumulative impact of specific word choices on meaning and tone (e.g., how the language evokes a sense of time and p</w:t>
            </w:r>
            <w:r w:rsidR="00D72E6F" w:rsidRPr="000F2111">
              <w:t>la</w:t>
            </w:r>
            <w:r w:rsidRPr="000F2111">
              <w:t>ce; how it sets a formal or informal tone).</w:t>
            </w:r>
          </w:p>
        </w:tc>
      </w:tr>
      <w:tr w:rsidR="00790BCC" w:rsidRPr="00790BCC" w14:paraId="3CA61E5F" w14:textId="77777777" w:rsidTr="00320094">
        <w:trPr>
          <w:trHeight w:val="365"/>
        </w:trPr>
        <w:tc>
          <w:tcPr>
            <w:tcW w:w="9401" w:type="dxa"/>
            <w:gridSpan w:val="2"/>
            <w:shd w:val="clear" w:color="auto" w:fill="76923C"/>
          </w:tcPr>
          <w:p w14:paraId="4B48A31B" w14:textId="77777777" w:rsidR="00790BCC" w:rsidRPr="00790BCC" w:rsidRDefault="00790BCC" w:rsidP="007017EB">
            <w:pPr>
              <w:pStyle w:val="TableHeaders"/>
            </w:pPr>
            <w:r w:rsidRPr="00790BCC">
              <w:t>Addressed Standard(s)</w:t>
            </w:r>
          </w:p>
        </w:tc>
      </w:tr>
      <w:tr w:rsidR="004959DD" w:rsidRPr="00790BCC" w14:paraId="1D951CB3" w14:textId="77777777" w:rsidTr="00320094">
        <w:trPr>
          <w:trHeight w:val="415"/>
        </w:trPr>
        <w:tc>
          <w:tcPr>
            <w:tcW w:w="9401" w:type="dxa"/>
            <w:gridSpan w:val="2"/>
          </w:tcPr>
          <w:p w14:paraId="4BE7FB00" w14:textId="77777777" w:rsidR="004959DD" w:rsidRPr="000F2111" w:rsidRDefault="004959DD" w:rsidP="000F2111">
            <w:pPr>
              <w:pStyle w:val="TableText"/>
            </w:pPr>
            <w:r w:rsidRPr="000F2111">
              <w:t>None</w:t>
            </w:r>
            <w:r w:rsidR="000F2111" w:rsidRPr="000F2111">
              <w:t>.</w:t>
            </w:r>
            <w:r w:rsidRPr="000F2111">
              <w:t xml:space="preserve"> </w:t>
            </w:r>
          </w:p>
        </w:tc>
      </w:tr>
    </w:tbl>
    <w:p w14:paraId="203265AF" w14:textId="77777777" w:rsidR="00790BCC" w:rsidRPr="00790BCC" w:rsidRDefault="00790BCC" w:rsidP="0068331D">
      <w:pPr>
        <w:pStyle w:val="Heading1"/>
        <w:spacing w:before="400"/>
      </w:pPr>
      <w:r w:rsidRPr="00790BCC">
        <w:t>Assessment</w:t>
      </w:r>
    </w:p>
    <w:tbl>
      <w:tblPr>
        <w:tblW w:w="94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790BCC" w:rsidRPr="00790BCC" w14:paraId="1A5D1E0A" w14:textId="77777777" w:rsidTr="00320094">
        <w:trPr>
          <w:trHeight w:val="354"/>
        </w:trPr>
        <w:tc>
          <w:tcPr>
            <w:tcW w:w="9407" w:type="dxa"/>
            <w:shd w:val="clear" w:color="auto" w:fill="76923C"/>
          </w:tcPr>
          <w:p w14:paraId="4873B7C0" w14:textId="77777777" w:rsidR="00790BCC" w:rsidRPr="00790BCC" w:rsidRDefault="00790BCC" w:rsidP="007017EB">
            <w:pPr>
              <w:pStyle w:val="TableHeaders"/>
            </w:pPr>
            <w:r w:rsidRPr="00790BCC">
              <w:t>Assessment(s)</w:t>
            </w:r>
          </w:p>
        </w:tc>
      </w:tr>
      <w:tr w:rsidR="00790BCC" w:rsidRPr="00790BCC" w14:paraId="2CF021E1" w14:textId="77777777" w:rsidTr="0068331D">
        <w:trPr>
          <w:trHeight w:val="161"/>
        </w:trPr>
        <w:tc>
          <w:tcPr>
            <w:tcW w:w="9407" w:type="dxa"/>
            <w:tcBorders>
              <w:top w:val="single" w:sz="4" w:space="0" w:color="auto"/>
              <w:left w:val="single" w:sz="4" w:space="0" w:color="auto"/>
              <w:bottom w:val="single" w:sz="4" w:space="0" w:color="auto"/>
              <w:right w:val="single" w:sz="4" w:space="0" w:color="auto"/>
            </w:tcBorders>
          </w:tcPr>
          <w:p w14:paraId="01561E95" w14:textId="67371D91" w:rsidR="00420197" w:rsidRPr="000F2111" w:rsidRDefault="00420197" w:rsidP="000F2111">
            <w:pPr>
              <w:pStyle w:val="TableText"/>
            </w:pPr>
            <w:r w:rsidRPr="000F2111">
              <w:t xml:space="preserve">Student learning is assessed via a Quick Write at the end of the lesson. Students </w:t>
            </w:r>
            <w:r w:rsidR="00592DDB">
              <w:t>respond to</w:t>
            </w:r>
            <w:r w:rsidRPr="000F2111">
              <w:t xml:space="preserve"> the following prompt, citing textual evidence to support analysis and inferences drawn from the text.</w:t>
            </w:r>
          </w:p>
          <w:p w14:paraId="5FDFEF67" w14:textId="77777777" w:rsidR="00790BCC" w:rsidRPr="000F2111" w:rsidRDefault="00EE757F" w:rsidP="000F2111">
            <w:pPr>
              <w:pStyle w:val="BulletedList"/>
            </w:pPr>
            <w:r w:rsidRPr="000F2111">
              <w:t>What is the cumulative impact of Mitchell’s specific word choices on meaning and tone in this excerpt?</w:t>
            </w:r>
          </w:p>
        </w:tc>
      </w:tr>
      <w:tr w:rsidR="00790BCC" w:rsidRPr="00790BCC" w14:paraId="12CE48B6" w14:textId="77777777" w:rsidTr="00320094">
        <w:trPr>
          <w:trHeight w:val="145"/>
        </w:trPr>
        <w:tc>
          <w:tcPr>
            <w:tcW w:w="9407" w:type="dxa"/>
            <w:shd w:val="clear" w:color="auto" w:fill="76923C"/>
          </w:tcPr>
          <w:p w14:paraId="1350836B" w14:textId="77777777" w:rsidR="00790BCC" w:rsidRPr="00790BCC" w:rsidRDefault="00790BCC" w:rsidP="007017EB">
            <w:pPr>
              <w:pStyle w:val="TableHeaders"/>
            </w:pPr>
            <w:r w:rsidRPr="00790BCC">
              <w:lastRenderedPageBreak/>
              <w:t>High Performance Response(s)</w:t>
            </w:r>
          </w:p>
        </w:tc>
      </w:tr>
      <w:tr w:rsidR="00790BCC" w:rsidRPr="00790BCC" w14:paraId="40B7B2F6" w14:textId="77777777" w:rsidTr="00320094">
        <w:trPr>
          <w:trHeight w:val="145"/>
        </w:trPr>
        <w:tc>
          <w:tcPr>
            <w:tcW w:w="9407" w:type="dxa"/>
          </w:tcPr>
          <w:p w14:paraId="0EC8215F" w14:textId="77777777" w:rsidR="00790BCC" w:rsidRPr="000F2111" w:rsidRDefault="00790BCC" w:rsidP="000F2111">
            <w:pPr>
              <w:pStyle w:val="TableText"/>
            </w:pPr>
            <w:r w:rsidRPr="000F2111">
              <w:t>A High Performance Response should:</w:t>
            </w:r>
          </w:p>
          <w:p w14:paraId="2EB4F648" w14:textId="45BF3959" w:rsidR="00790BCC" w:rsidRDefault="00EE757F" w:rsidP="00D31F4D">
            <w:pPr>
              <w:pStyle w:val="BulletedList"/>
            </w:pPr>
            <w:r>
              <w:t>Cite specific word choices</w:t>
            </w:r>
            <w:r w:rsidR="0056255E">
              <w:t xml:space="preserve"> (e.g.</w:t>
            </w:r>
            <w:r w:rsidR="00061DE0">
              <w:t>,</w:t>
            </w:r>
            <w:r w:rsidR="0056255E">
              <w:t xml:space="preserve"> Mitchel</w:t>
            </w:r>
            <w:r w:rsidR="0021315A">
              <w:t>l</w:t>
            </w:r>
            <w:r w:rsidR="0056255E">
              <w:t xml:space="preserve"> uses words like “</w:t>
            </w:r>
            <w:r w:rsidR="006C4785" w:rsidRPr="00300E63">
              <w:rPr>
                <w:i/>
              </w:rPr>
              <w:t>duh</w:t>
            </w:r>
            <w:r w:rsidR="0056255E">
              <w:t>-</w:t>
            </w:r>
            <w:r w:rsidR="00DB5E94">
              <w:t>brain</w:t>
            </w:r>
            <w:r w:rsidR="00C2200F">
              <w:t>,”</w:t>
            </w:r>
            <w:r w:rsidR="00D976C4">
              <w:t xml:space="preserve"> </w:t>
            </w:r>
            <w:r w:rsidR="0056255E">
              <w:t>“flid</w:t>
            </w:r>
            <w:r w:rsidR="00C2200F">
              <w:t xml:space="preserve">,” </w:t>
            </w:r>
            <w:r w:rsidR="002A762D">
              <w:t xml:space="preserve">and </w:t>
            </w:r>
            <w:r w:rsidR="00C2200F">
              <w:t>“ashamed”</w:t>
            </w:r>
            <w:r w:rsidR="0056255E">
              <w:t xml:space="preserve"> (p.</w:t>
            </w:r>
            <w:r w:rsidR="00061DE0">
              <w:t xml:space="preserve"> </w:t>
            </w:r>
            <w:r w:rsidR="0056255E">
              <w:t>26)</w:t>
            </w:r>
            <w:r w:rsidR="001941D2">
              <w:t>, or word choices like “guppergupperguppers” (p</w:t>
            </w:r>
            <w:r w:rsidR="009E386B">
              <w:t>.</w:t>
            </w:r>
            <w:r w:rsidR="00061DE0">
              <w:t xml:space="preserve"> </w:t>
            </w:r>
            <w:r w:rsidR="009E386B">
              <w:t>26) and “Bunsen-</w:t>
            </w:r>
            <w:r w:rsidR="00DB5E94">
              <w:t>b</w:t>
            </w:r>
            <w:r w:rsidR="009E386B">
              <w:t>urnere</w:t>
            </w:r>
            <w:r w:rsidR="001941D2">
              <w:t>d” (p.</w:t>
            </w:r>
            <w:r w:rsidR="00061DE0">
              <w:t xml:space="preserve"> </w:t>
            </w:r>
            <w:r w:rsidR="001941D2">
              <w:t>25)</w:t>
            </w:r>
            <w:r w:rsidR="0068331D">
              <w:t>.</w:t>
            </w:r>
            <w:r w:rsidR="0056255E">
              <w:t>)</w:t>
            </w:r>
            <w:r w:rsidR="00061DE0">
              <w:t>.</w:t>
            </w:r>
          </w:p>
          <w:p w14:paraId="6F58E78B" w14:textId="5407ED0A" w:rsidR="0059443B" w:rsidRPr="00790BCC" w:rsidRDefault="00EE757F" w:rsidP="00D976C4">
            <w:pPr>
              <w:pStyle w:val="BulletedList"/>
            </w:pPr>
            <w:r>
              <w:t>Analyze the cumulative impact of those word choice</w:t>
            </w:r>
            <w:r w:rsidR="004C0729">
              <w:t>s</w:t>
            </w:r>
            <w:r>
              <w:t xml:space="preserve"> on meaning and tone</w:t>
            </w:r>
            <w:r w:rsidR="0056255E">
              <w:t xml:space="preserve"> (e.g.</w:t>
            </w:r>
            <w:r w:rsidR="00061DE0">
              <w:t>,</w:t>
            </w:r>
            <w:r w:rsidR="0056255E">
              <w:t xml:space="preserve"> </w:t>
            </w:r>
            <w:r w:rsidR="00BB60E4">
              <w:t>W</w:t>
            </w:r>
            <w:r w:rsidR="001941D2">
              <w:t xml:space="preserve">ord choices </w:t>
            </w:r>
            <w:r w:rsidR="00BB60E4">
              <w:t>such as</w:t>
            </w:r>
            <w:r w:rsidR="001941D2">
              <w:t xml:space="preserve"> “gupperguppergup</w:t>
            </w:r>
            <w:r w:rsidR="009E386B">
              <w:t>pers” (p.</w:t>
            </w:r>
            <w:r w:rsidR="00061DE0">
              <w:t xml:space="preserve"> </w:t>
            </w:r>
            <w:r w:rsidR="009E386B">
              <w:t>26) and “Bunsen-burnere</w:t>
            </w:r>
            <w:r w:rsidR="001941D2">
              <w:t>d” (p.</w:t>
            </w:r>
            <w:r w:rsidR="00061DE0">
              <w:t xml:space="preserve"> </w:t>
            </w:r>
            <w:r w:rsidR="001941D2">
              <w:t>2</w:t>
            </w:r>
            <w:r w:rsidR="00DB5E94">
              <w:t>5</w:t>
            </w:r>
            <w:r w:rsidR="001941D2">
              <w:t xml:space="preserve">) create a funny and creative tone, because they are made up words used for </w:t>
            </w:r>
            <w:r w:rsidR="00B1711F">
              <w:t>comedic effect.</w:t>
            </w:r>
            <w:r w:rsidR="00BB60E4">
              <w:t xml:space="preserve"> However, there is also a dark, angry tone to Jason’s humor as word choices such as “</w:t>
            </w:r>
            <w:r w:rsidR="006C4785" w:rsidRPr="00300E63">
              <w:rPr>
                <w:i/>
              </w:rPr>
              <w:t>duh</w:t>
            </w:r>
            <w:r w:rsidR="00BB60E4">
              <w:t>-</w:t>
            </w:r>
            <w:r w:rsidR="00DB5E94">
              <w:t>brain</w:t>
            </w:r>
            <w:r w:rsidR="00BB60E4">
              <w:t>” and “ashamed” (p.</w:t>
            </w:r>
            <w:r w:rsidR="00061DE0">
              <w:t xml:space="preserve"> </w:t>
            </w:r>
            <w:r w:rsidR="00BB60E4">
              <w:t>26)</w:t>
            </w:r>
            <w:r w:rsidR="00D976C4">
              <w:t>,</w:t>
            </w:r>
            <w:r w:rsidR="00BB60E4">
              <w:t xml:space="preserve"> </w:t>
            </w:r>
            <w:r w:rsidR="00DB5E94">
              <w:t xml:space="preserve">to </w:t>
            </w:r>
            <w:r w:rsidR="00BB60E4">
              <w:t>demonstrate how embarrassed and ashamed Jason feels about himself due to his stammer</w:t>
            </w:r>
            <w:r w:rsidR="0068331D">
              <w:t>.</w:t>
            </w:r>
            <w:r w:rsidR="00BB60E4">
              <w:t>)</w:t>
            </w:r>
            <w:r w:rsidR="00061DE0">
              <w:t>.</w:t>
            </w:r>
          </w:p>
        </w:tc>
      </w:tr>
    </w:tbl>
    <w:p w14:paraId="62595DC2" w14:textId="77777777" w:rsidR="00790BCC" w:rsidRPr="00790BCC" w:rsidRDefault="00790BCC" w:rsidP="00D31F4D">
      <w:pPr>
        <w:pStyle w:val="Heading1"/>
      </w:pPr>
      <w:r w:rsidRPr="00341F48">
        <w:t>Vocabulary</w:t>
      </w:r>
    </w:p>
    <w:tbl>
      <w:tblPr>
        <w:tblW w:w="94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790BCC" w:rsidRPr="00790BCC" w14:paraId="49A9F984" w14:textId="77777777" w:rsidTr="00320094">
        <w:trPr>
          <w:trHeight w:val="354"/>
        </w:trPr>
        <w:tc>
          <w:tcPr>
            <w:tcW w:w="9407" w:type="dxa"/>
            <w:shd w:val="clear" w:color="auto" w:fill="76923C"/>
          </w:tcPr>
          <w:p w14:paraId="196EC5E1" w14:textId="77777777" w:rsidR="00790BCC" w:rsidRPr="00790BCC" w:rsidRDefault="00790BCC" w:rsidP="00D31F4D">
            <w:pPr>
              <w:pStyle w:val="TableHeaders"/>
            </w:pPr>
            <w:r w:rsidRPr="00790BCC">
              <w:t>Vocabulary to provide directly (will not include extended instruction)</w:t>
            </w:r>
          </w:p>
        </w:tc>
      </w:tr>
      <w:tr w:rsidR="00790BCC" w:rsidRPr="00790BCC" w14:paraId="7C336E2C" w14:textId="77777777" w:rsidTr="00EF13BD">
        <w:trPr>
          <w:trHeight w:val="2736"/>
        </w:trPr>
        <w:tc>
          <w:tcPr>
            <w:tcW w:w="9407" w:type="dxa"/>
          </w:tcPr>
          <w:p w14:paraId="18D62050" w14:textId="77777777" w:rsidR="00CB64DA" w:rsidRDefault="00CB64DA" w:rsidP="00D31F4D">
            <w:pPr>
              <w:pStyle w:val="BulletedList"/>
            </w:pPr>
            <w:r>
              <w:t xml:space="preserve">acest (adj.) </w:t>
            </w:r>
            <w:r w:rsidR="007939D8">
              <w:t>–</w:t>
            </w:r>
            <w:r>
              <w:t xml:space="preserve"> </w:t>
            </w:r>
            <w:r w:rsidR="0056255E">
              <w:t>coolest</w:t>
            </w:r>
          </w:p>
          <w:p w14:paraId="69A24AFE" w14:textId="77777777" w:rsidR="00DC6002" w:rsidRDefault="00944186" w:rsidP="00D31F4D">
            <w:pPr>
              <w:pStyle w:val="BulletedList"/>
            </w:pPr>
            <w:r>
              <w:t>Bunsen-burnered (v.) – burned with a Bunsen-burner</w:t>
            </w:r>
            <w:r w:rsidR="00AD0AB8">
              <w:t>, a type of gas burner</w:t>
            </w:r>
          </w:p>
          <w:p w14:paraId="1223D961" w14:textId="77777777" w:rsidR="00BB60E4" w:rsidRDefault="00BB60E4" w:rsidP="00D31F4D">
            <w:pPr>
              <w:pStyle w:val="BulletedList"/>
            </w:pPr>
            <w:r>
              <w:t>satchel (n.) – a small bag, sometimes with a shoulder strap</w:t>
            </w:r>
          </w:p>
          <w:p w14:paraId="04570F52" w14:textId="77777777" w:rsidR="00944186" w:rsidRDefault="00944186" w:rsidP="00D31F4D">
            <w:pPr>
              <w:pStyle w:val="BulletedList"/>
            </w:pPr>
            <w:r>
              <w:t xml:space="preserve">froggering (v.) – </w:t>
            </w:r>
            <w:r w:rsidR="001941D2">
              <w:t>jumping</w:t>
            </w:r>
          </w:p>
          <w:p w14:paraId="1AF36F4B" w14:textId="77777777" w:rsidR="00944186" w:rsidRDefault="00944186" w:rsidP="00D31F4D">
            <w:pPr>
              <w:pStyle w:val="BulletedList"/>
            </w:pPr>
            <w:r>
              <w:t>skive (v.) –</w:t>
            </w:r>
            <w:r w:rsidR="0056255E">
              <w:t xml:space="preserve"> to cut</w:t>
            </w:r>
          </w:p>
          <w:p w14:paraId="360285B0" w14:textId="77777777" w:rsidR="00944186" w:rsidRDefault="00944186" w:rsidP="00D31F4D">
            <w:pPr>
              <w:pStyle w:val="BulletedList"/>
            </w:pPr>
            <w:r>
              <w:t xml:space="preserve">gorse (n.) </w:t>
            </w:r>
            <w:r w:rsidR="000221F5">
              <w:t>–</w:t>
            </w:r>
            <w:r>
              <w:t xml:space="preserve"> </w:t>
            </w:r>
            <w:r w:rsidR="0056255E">
              <w:t>a spiny yellow-flowered European shrub</w:t>
            </w:r>
          </w:p>
          <w:p w14:paraId="4793626B" w14:textId="08A2B0EB" w:rsidR="00717FB7" w:rsidRPr="00790BCC" w:rsidRDefault="000221F5" w:rsidP="00351BD4">
            <w:pPr>
              <w:pStyle w:val="BulletedList"/>
            </w:pPr>
            <w:r>
              <w:t xml:space="preserve">hobbity (adj.) </w:t>
            </w:r>
            <w:r w:rsidR="00AF6FE7">
              <w:t>–</w:t>
            </w:r>
            <w:r>
              <w:t xml:space="preserve"> </w:t>
            </w:r>
            <w:r w:rsidR="00AD0AB8">
              <w:t>short, tiny</w:t>
            </w:r>
          </w:p>
        </w:tc>
      </w:tr>
      <w:tr w:rsidR="00790BCC" w:rsidRPr="00790BCC" w14:paraId="65C196FB" w14:textId="77777777" w:rsidTr="00320094">
        <w:trPr>
          <w:trHeight w:val="342"/>
        </w:trPr>
        <w:tc>
          <w:tcPr>
            <w:tcW w:w="9407" w:type="dxa"/>
            <w:shd w:val="clear" w:color="auto" w:fill="76923C"/>
          </w:tcPr>
          <w:p w14:paraId="5C167CE0" w14:textId="77777777" w:rsidR="00790BCC" w:rsidRPr="00790BCC" w:rsidRDefault="00790BCC" w:rsidP="00D31F4D">
            <w:pPr>
              <w:pStyle w:val="TableHeaders"/>
            </w:pPr>
            <w:r w:rsidRPr="00790BCC">
              <w:t>Vocabulary to teach (may include direct word work and/or questions)</w:t>
            </w:r>
          </w:p>
        </w:tc>
      </w:tr>
      <w:tr w:rsidR="00790BCC" w:rsidRPr="00790BCC" w14:paraId="396723B3" w14:textId="77777777" w:rsidTr="00320094">
        <w:trPr>
          <w:trHeight w:val="440"/>
        </w:trPr>
        <w:tc>
          <w:tcPr>
            <w:tcW w:w="9407" w:type="dxa"/>
          </w:tcPr>
          <w:p w14:paraId="4ECA13D1" w14:textId="77777777" w:rsidR="00AF6FE7" w:rsidRPr="00790BCC" w:rsidRDefault="00A8001F" w:rsidP="00D31F4D">
            <w:pPr>
              <w:pStyle w:val="BulletedList"/>
            </w:pPr>
            <w:r>
              <w:t>None.</w:t>
            </w:r>
          </w:p>
        </w:tc>
      </w:tr>
      <w:tr w:rsidR="00790BCC" w:rsidRPr="00790BCC" w14:paraId="2F02780E" w14:textId="77777777" w:rsidTr="00320094">
        <w:trPr>
          <w:trHeight w:val="354"/>
        </w:trPr>
        <w:tc>
          <w:tcPr>
            <w:tcW w:w="9407" w:type="dxa"/>
            <w:tcBorders>
              <w:top w:val="single" w:sz="4" w:space="0" w:color="auto"/>
              <w:left w:val="single" w:sz="4" w:space="0" w:color="auto"/>
              <w:bottom w:val="single" w:sz="4" w:space="0" w:color="auto"/>
              <w:right w:val="single" w:sz="4" w:space="0" w:color="auto"/>
            </w:tcBorders>
            <w:shd w:val="clear" w:color="auto" w:fill="76923C"/>
          </w:tcPr>
          <w:p w14:paraId="44D15DA6"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6805DC1A" w14:textId="77777777" w:rsidTr="00320094">
        <w:trPr>
          <w:trHeight w:val="781"/>
        </w:trPr>
        <w:tc>
          <w:tcPr>
            <w:tcW w:w="9407" w:type="dxa"/>
            <w:tcBorders>
              <w:top w:val="single" w:sz="4" w:space="0" w:color="auto"/>
              <w:left w:val="single" w:sz="4" w:space="0" w:color="auto"/>
              <w:bottom w:val="single" w:sz="4" w:space="0" w:color="auto"/>
              <w:right w:val="single" w:sz="4" w:space="0" w:color="auto"/>
            </w:tcBorders>
          </w:tcPr>
          <w:p w14:paraId="0CC48742" w14:textId="77777777" w:rsidR="00790BCC" w:rsidRDefault="000221F5" w:rsidP="000221F5">
            <w:pPr>
              <w:pStyle w:val="BulletedList"/>
            </w:pPr>
            <w:r>
              <w:t>clinic</w:t>
            </w:r>
            <w:r w:rsidR="00420197">
              <w:t xml:space="preserve"> (n.) – </w:t>
            </w:r>
            <w:r w:rsidR="00AD0AB8">
              <w:t>a place where people get medical help</w:t>
            </w:r>
          </w:p>
          <w:p w14:paraId="6A859E1B" w14:textId="77777777" w:rsidR="000221F5" w:rsidRDefault="000221F5" w:rsidP="000221F5">
            <w:pPr>
              <w:pStyle w:val="BulletedList"/>
            </w:pPr>
            <w:r>
              <w:t xml:space="preserve">receptionist (n.) </w:t>
            </w:r>
            <w:r w:rsidR="00AF6FE7">
              <w:t>–</w:t>
            </w:r>
            <w:r w:rsidR="00AD0AB8">
              <w:t xml:space="preserve"> a person whose job is to deal with the people who call or enter an office, hotel, etc.</w:t>
            </w:r>
          </w:p>
          <w:p w14:paraId="230F5551" w14:textId="77777777" w:rsidR="00AF6FE7" w:rsidRDefault="00AF6FE7" w:rsidP="000221F5">
            <w:pPr>
              <w:pStyle w:val="BulletedList"/>
            </w:pPr>
            <w:r>
              <w:t>diarrhea</w:t>
            </w:r>
            <w:r w:rsidR="00AD0AB8">
              <w:t xml:space="preserve"> (n.) – an illness that causes you to pass waste from your body very frequently and in a liquid rather than solid form</w:t>
            </w:r>
          </w:p>
          <w:p w14:paraId="1E48C04C" w14:textId="77777777" w:rsidR="00AF6FE7" w:rsidRPr="00790BCC" w:rsidRDefault="00AF6FE7" w:rsidP="000221F5">
            <w:pPr>
              <w:pStyle w:val="BulletedList"/>
            </w:pPr>
            <w:r>
              <w:t>constipation</w:t>
            </w:r>
            <w:r w:rsidR="00AD0AB8">
              <w:t xml:space="preserve"> (n.) – the condition of being unable to easily release solid waste from your body</w:t>
            </w:r>
          </w:p>
        </w:tc>
      </w:tr>
    </w:tbl>
    <w:p w14:paraId="43D9D000" w14:textId="77777777" w:rsidR="00790BCC" w:rsidRPr="00790BCC" w:rsidRDefault="00790BCC" w:rsidP="00D31F4D">
      <w:pPr>
        <w:pStyle w:val="Heading1"/>
      </w:pPr>
      <w:r w:rsidRPr="00790BCC">
        <w:lastRenderedPageBreak/>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9"/>
        <w:gridCol w:w="1714"/>
      </w:tblGrid>
      <w:tr w:rsidR="00790BCC" w:rsidRPr="00790BCC" w14:paraId="207B1F62" w14:textId="77777777" w:rsidTr="00320094">
        <w:trPr>
          <w:trHeight w:val="341"/>
        </w:trPr>
        <w:tc>
          <w:tcPr>
            <w:tcW w:w="7689" w:type="dxa"/>
            <w:tcBorders>
              <w:bottom w:val="single" w:sz="4" w:space="0" w:color="auto"/>
            </w:tcBorders>
            <w:shd w:val="clear" w:color="auto" w:fill="76923C"/>
          </w:tcPr>
          <w:p w14:paraId="160D61D3" w14:textId="77777777" w:rsidR="00790BCC" w:rsidRPr="00790BCC" w:rsidRDefault="00790BCC" w:rsidP="00D31F4D">
            <w:pPr>
              <w:pStyle w:val="TableHeaders"/>
            </w:pPr>
            <w:r w:rsidRPr="00790BCC">
              <w:t>Student-Facing Agenda</w:t>
            </w:r>
          </w:p>
        </w:tc>
        <w:tc>
          <w:tcPr>
            <w:tcW w:w="1714" w:type="dxa"/>
            <w:tcBorders>
              <w:bottom w:val="single" w:sz="4" w:space="0" w:color="auto"/>
            </w:tcBorders>
            <w:shd w:val="clear" w:color="auto" w:fill="76923C"/>
          </w:tcPr>
          <w:p w14:paraId="1A6E9C9E" w14:textId="77777777" w:rsidR="00790BCC" w:rsidRPr="00790BCC" w:rsidRDefault="00790BCC" w:rsidP="00D31F4D">
            <w:pPr>
              <w:pStyle w:val="TableHeaders"/>
            </w:pPr>
            <w:r w:rsidRPr="00790BCC">
              <w:t>% of Lesson</w:t>
            </w:r>
          </w:p>
        </w:tc>
      </w:tr>
      <w:tr w:rsidR="00790BCC" w:rsidRPr="00790BCC" w14:paraId="43B2B046" w14:textId="77777777" w:rsidTr="00320094">
        <w:trPr>
          <w:trHeight w:val="1321"/>
        </w:trPr>
        <w:tc>
          <w:tcPr>
            <w:tcW w:w="7689" w:type="dxa"/>
            <w:tcBorders>
              <w:bottom w:val="nil"/>
            </w:tcBorders>
          </w:tcPr>
          <w:p w14:paraId="2E6FBF1B" w14:textId="77777777" w:rsidR="00790BCC" w:rsidRPr="00D31F4D" w:rsidRDefault="00790BCC" w:rsidP="00D31F4D">
            <w:pPr>
              <w:pStyle w:val="TableText"/>
              <w:rPr>
                <w:b/>
              </w:rPr>
            </w:pPr>
            <w:r w:rsidRPr="00D31F4D">
              <w:rPr>
                <w:b/>
              </w:rPr>
              <w:t>Standards &amp; Text:</w:t>
            </w:r>
          </w:p>
          <w:p w14:paraId="100333BF" w14:textId="77777777" w:rsidR="00790BCC" w:rsidRPr="00790BCC" w:rsidRDefault="00790BCC" w:rsidP="00D31F4D">
            <w:pPr>
              <w:pStyle w:val="BulletedList"/>
            </w:pPr>
            <w:r w:rsidRPr="00790BCC">
              <w:t xml:space="preserve">Standards: </w:t>
            </w:r>
            <w:r w:rsidR="00420197" w:rsidRPr="001B3896">
              <w:t>R</w:t>
            </w:r>
            <w:r w:rsidR="00EE757F">
              <w:t>L.9-10.4</w:t>
            </w:r>
          </w:p>
          <w:p w14:paraId="65E4DE0E" w14:textId="0437EC87" w:rsidR="00790BCC" w:rsidRPr="00790BCC" w:rsidRDefault="00790BCC" w:rsidP="0068331D">
            <w:pPr>
              <w:pStyle w:val="BulletedList"/>
            </w:pPr>
            <w:r w:rsidRPr="00790BCC">
              <w:t xml:space="preserve">Text: </w:t>
            </w:r>
            <w:r w:rsidR="00EE757F">
              <w:rPr>
                <w:i/>
              </w:rPr>
              <w:t>Black Swan Green</w:t>
            </w:r>
            <w:r w:rsidR="00EE757F">
              <w:t xml:space="preserve"> by David Mitchell</w:t>
            </w:r>
            <w:r w:rsidR="00270B2A">
              <w:t>,</w:t>
            </w:r>
            <w:r w:rsidR="00492A70">
              <w:t xml:space="preserve"> </w:t>
            </w:r>
            <w:r w:rsidR="0068331D">
              <w:t xml:space="preserve">“Hangman,” </w:t>
            </w:r>
            <w:r w:rsidR="00492A70">
              <w:t>pp. 24</w:t>
            </w:r>
            <w:r w:rsidR="007939D8">
              <w:t>–</w:t>
            </w:r>
            <w:r w:rsidR="00492A70">
              <w:t>26</w:t>
            </w:r>
          </w:p>
        </w:tc>
        <w:tc>
          <w:tcPr>
            <w:tcW w:w="1714" w:type="dxa"/>
            <w:tcBorders>
              <w:bottom w:val="nil"/>
            </w:tcBorders>
          </w:tcPr>
          <w:p w14:paraId="1827BDB8" w14:textId="77777777" w:rsidR="00790BCC" w:rsidRPr="00790BCC" w:rsidRDefault="00790BCC" w:rsidP="00790BCC"/>
          <w:p w14:paraId="47A5EE45" w14:textId="77777777" w:rsidR="00790BCC" w:rsidRPr="00790BCC" w:rsidRDefault="00790BCC" w:rsidP="00790BCC">
            <w:pPr>
              <w:spacing w:after="60" w:line="240" w:lineRule="auto"/>
            </w:pPr>
          </w:p>
        </w:tc>
      </w:tr>
      <w:tr w:rsidR="00790BCC" w:rsidRPr="00790BCC" w14:paraId="0B38DB72" w14:textId="77777777" w:rsidTr="00320094">
        <w:trPr>
          <w:trHeight w:val="2374"/>
        </w:trPr>
        <w:tc>
          <w:tcPr>
            <w:tcW w:w="7689" w:type="dxa"/>
            <w:tcBorders>
              <w:top w:val="nil"/>
            </w:tcBorders>
          </w:tcPr>
          <w:p w14:paraId="392133CA" w14:textId="77777777" w:rsidR="00790BCC" w:rsidRPr="00D31F4D" w:rsidRDefault="00790BCC" w:rsidP="00D31F4D">
            <w:pPr>
              <w:pStyle w:val="TableText"/>
              <w:rPr>
                <w:b/>
              </w:rPr>
            </w:pPr>
            <w:r w:rsidRPr="00D31F4D">
              <w:rPr>
                <w:b/>
              </w:rPr>
              <w:t>Learning Sequence:</w:t>
            </w:r>
          </w:p>
          <w:p w14:paraId="49CC955D" w14:textId="77777777" w:rsidR="00EE757F" w:rsidRDefault="00790BCC" w:rsidP="00EE757F">
            <w:pPr>
              <w:pStyle w:val="NumberedList"/>
            </w:pPr>
            <w:r w:rsidRPr="00790BCC">
              <w:t>Introduction of Lesson Agenda</w:t>
            </w:r>
          </w:p>
          <w:p w14:paraId="488AE77A" w14:textId="77777777" w:rsidR="00790BCC" w:rsidRDefault="00790BCC" w:rsidP="00D31F4D">
            <w:pPr>
              <w:pStyle w:val="NumberedList"/>
            </w:pPr>
            <w:r w:rsidRPr="00790BCC">
              <w:t>Homework Accountability</w:t>
            </w:r>
          </w:p>
          <w:p w14:paraId="13DF133B" w14:textId="77777777" w:rsidR="00EE757F" w:rsidRPr="00790BCC" w:rsidRDefault="00EE757F" w:rsidP="00D31F4D">
            <w:pPr>
              <w:pStyle w:val="NumberedList"/>
            </w:pPr>
            <w:r>
              <w:t>Masterful Reading</w:t>
            </w:r>
          </w:p>
          <w:p w14:paraId="6FF18517" w14:textId="77777777" w:rsidR="00790BCC" w:rsidRPr="00790BCC" w:rsidRDefault="002B65E1" w:rsidP="002B65E1">
            <w:pPr>
              <w:pStyle w:val="NumberedList"/>
            </w:pPr>
            <w:r>
              <w:t>Reading and Discussion</w:t>
            </w:r>
          </w:p>
          <w:p w14:paraId="1F8BA836" w14:textId="77777777" w:rsidR="00790BCC" w:rsidRPr="00790BCC" w:rsidRDefault="002B65E1" w:rsidP="00D31F4D">
            <w:pPr>
              <w:pStyle w:val="NumberedList"/>
            </w:pPr>
            <w:r>
              <w:t>Quick Write</w:t>
            </w:r>
          </w:p>
          <w:p w14:paraId="4BC0E5F9" w14:textId="77777777" w:rsidR="00790BCC" w:rsidRPr="00790BCC" w:rsidRDefault="00790BCC" w:rsidP="00D31F4D">
            <w:pPr>
              <w:pStyle w:val="NumberedList"/>
            </w:pPr>
            <w:r w:rsidRPr="00790BCC">
              <w:t>Closing</w:t>
            </w:r>
          </w:p>
        </w:tc>
        <w:tc>
          <w:tcPr>
            <w:tcW w:w="1714" w:type="dxa"/>
            <w:tcBorders>
              <w:top w:val="nil"/>
            </w:tcBorders>
          </w:tcPr>
          <w:p w14:paraId="424370CD" w14:textId="77777777" w:rsidR="00790BCC" w:rsidRPr="00790BCC" w:rsidRDefault="00790BCC" w:rsidP="00790BCC">
            <w:pPr>
              <w:spacing w:before="40" w:after="40"/>
            </w:pPr>
          </w:p>
          <w:p w14:paraId="304B3F2A" w14:textId="77777777" w:rsidR="00790BCC" w:rsidRPr="00790BCC" w:rsidRDefault="00790BCC" w:rsidP="00D31F4D">
            <w:pPr>
              <w:pStyle w:val="NumberedList"/>
              <w:numPr>
                <w:ilvl w:val="0"/>
                <w:numId w:val="13"/>
              </w:numPr>
            </w:pPr>
            <w:r w:rsidRPr="00790BCC">
              <w:t>5%</w:t>
            </w:r>
          </w:p>
          <w:p w14:paraId="51C30E2A" w14:textId="77777777" w:rsidR="00790BCC" w:rsidRPr="00790BCC" w:rsidRDefault="00790BCC" w:rsidP="00D31F4D">
            <w:pPr>
              <w:pStyle w:val="NumberedList"/>
              <w:numPr>
                <w:ilvl w:val="0"/>
                <w:numId w:val="13"/>
              </w:numPr>
            </w:pPr>
            <w:r w:rsidRPr="00790BCC">
              <w:t>10%</w:t>
            </w:r>
          </w:p>
          <w:p w14:paraId="43034E47" w14:textId="77777777" w:rsidR="00790BCC" w:rsidRPr="00790BCC" w:rsidRDefault="00EE757F" w:rsidP="002B65E1">
            <w:pPr>
              <w:pStyle w:val="NumberedList"/>
              <w:numPr>
                <w:ilvl w:val="0"/>
                <w:numId w:val="13"/>
              </w:numPr>
            </w:pPr>
            <w:r>
              <w:t>15</w:t>
            </w:r>
            <w:r w:rsidR="00790BCC" w:rsidRPr="00790BCC">
              <w:t>%</w:t>
            </w:r>
          </w:p>
          <w:p w14:paraId="70DEDEA5" w14:textId="77777777" w:rsidR="00EE757F" w:rsidRDefault="00EE757F" w:rsidP="00D31F4D">
            <w:pPr>
              <w:pStyle w:val="NumberedList"/>
              <w:numPr>
                <w:ilvl w:val="0"/>
                <w:numId w:val="13"/>
              </w:numPr>
            </w:pPr>
            <w:r>
              <w:t>50%</w:t>
            </w:r>
          </w:p>
          <w:p w14:paraId="31104C84" w14:textId="77777777" w:rsidR="00790BCC" w:rsidRPr="00790BCC" w:rsidRDefault="002B65E1" w:rsidP="00D31F4D">
            <w:pPr>
              <w:pStyle w:val="NumberedList"/>
              <w:numPr>
                <w:ilvl w:val="0"/>
                <w:numId w:val="13"/>
              </w:numPr>
            </w:pPr>
            <w:r>
              <w:t>15</w:t>
            </w:r>
            <w:r w:rsidR="00790BCC" w:rsidRPr="00790BCC">
              <w:t>%</w:t>
            </w:r>
          </w:p>
          <w:p w14:paraId="59541F12" w14:textId="77777777" w:rsidR="00790BCC" w:rsidRPr="00790BCC" w:rsidRDefault="00790BCC" w:rsidP="00D31F4D">
            <w:pPr>
              <w:pStyle w:val="NumberedList"/>
              <w:numPr>
                <w:ilvl w:val="0"/>
                <w:numId w:val="13"/>
              </w:numPr>
            </w:pPr>
            <w:r w:rsidRPr="00790BCC">
              <w:t>5%</w:t>
            </w:r>
          </w:p>
        </w:tc>
      </w:tr>
    </w:tbl>
    <w:p w14:paraId="1F475917" w14:textId="77777777" w:rsidR="00790BCC" w:rsidRPr="00790BCC" w:rsidRDefault="00790BCC" w:rsidP="00D31F4D">
      <w:pPr>
        <w:pStyle w:val="Heading1"/>
      </w:pPr>
      <w:r w:rsidRPr="00790BCC">
        <w:t>Materials</w:t>
      </w:r>
    </w:p>
    <w:p w14:paraId="0F31956F" w14:textId="77777777" w:rsidR="00790BCC" w:rsidRPr="00790BCC" w:rsidRDefault="001321F6" w:rsidP="00D31F4D">
      <w:pPr>
        <w:pStyle w:val="BulletedList"/>
      </w:pPr>
      <w:r>
        <w:t xml:space="preserve">Student copies of the </w:t>
      </w:r>
      <w:r w:rsidR="00420197">
        <w:t>Short Response Rubric and Checklist (</w:t>
      </w:r>
      <w:r>
        <w:t xml:space="preserve">refer to </w:t>
      </w:r>
      <w:r w:rsidR="00420197">
        <w:t>9.1.1 Lesson 1)</w:t>
      </w:r>
    </w:p>
    <w:p w14:paraId="7C3E8123" w14:textId="77777777" w:rsidR="00790BCC" w:rsidRDefault="00790BCC" w:rsidP="00D31F4D">
      <w:pPr>
        <w:pStyle w:val="Heading1"/>
      </w:pPr>
      <w:r w:rsidRPr="00790BCC">
        <w:t>Learning Sequence</w:t>
      </w:r>
    </w:p>
    <w:tbl>
      <w:tblPr>
        <w:tblStyle w:val="TableGrid1"/>
        <w:tblW w:w="93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8499"/>
      </w:tblGrid>
      <w:tr w:rsidR="00D31F4D" w:rsidRPr="00D31F4D" w14:paraId="167D41BF" w14:textId="77777777" w:rsidTr="00320094">
        <w:trPr>
          <w:trHeight w:val="352"/>
        </w:trPr>
        <w:tc>
          <w:tcPr>
            <w:tcW w:w="9396" w:type="dxa"/>
            <w:gridSpan w:val="2"/>
            <w:shd w:val="clear" w:color="auto" w:fill="76923C"/>
          </w:tcPr>
          <w:p w14:paraId="04ED164D" w14:textId="77777777" w:rsidR="00D31F4D" w:rsidRPr="00D31F4D" w:rsidRDefault="00D31F4D" w:rsidP="009450B7">
            <w:pPr>
              <w:pStyle w:val="TableHeaders"/>
            </w:pPr>
            <w:r w:rsidRPr="009450B7">
              <w:rPr>
                <w:sz w:val="22"/>
              </w:rPr>
              <w:t>How to Use the Learning Sequence</w:t>
            </w:r>
          </w:p>
        </w:tc>
      </w:tr>
      <w:tr w:rsidR="00D31F4D" w:rsidRPr="00D31F4D" w14:paraId="15E48DE2" w14:textId="77777777" w:rsidTr="00320094">
        <w:trPr>
          <w:trHeight w:val="340"/>
        </w:trPr>
        <w:tc>
          <w:tcPr>
            <w:tcW w:w="897" w:type="dxa"/>
            <w:shd w:val="clear" w:color="auto" w:fill="76923C"/>
          </w:tcPr>
          <w:p w14:paraId="5E4FF196" w14:textId="77777777" w:rsidR="00D31F4D" w:rsidRPr="009450B7" w:rsidRDefault="00D31F4D" w:rsidP="00D31F4D">
            <w:pPr>
              <w:pStyle w:val="TableHeaders"/>
              <w:rPr>
                <w:sz w:val="22"/>
              </w:rPr>
            </w:pPr>
            <w:r w:rsidRPr="009450B7">
              <w:rPr>
                <w:sz w:val="22"/>
              </w:rPr>
              <w:t>Symbol</w:t>
            </w:r>
          </w:p>
        </w:tc>
        <w:tc>
          <w:tcPr>
            <w:tcW w:w="8499" w:type="dxa"/>
            <w:shd w:val="clear" w:color="auto" w:fill="76923C"/>
          </w:tcPr>
          <w:p w14:paraId="3BF3DFFC"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07E9539B" w14:textId="77777777" w:rsidTr="00320094">
        <w:trPr>
          <w:trHeight w:val="291"/>
        </w:trPr>
        <w:tc>
          <w:tcPr>
            <w:tcW w:w="897" w:type="dxa"/>
          </w:tcPr>
          <w:p w14:paraId="7C23C794"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99" w:type="dxa"/>
          </w:tcPr>
          <w:p w14:paraId="03AC669D"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0E795C2C" w14:textId="77777777" w:rsidTr="00320094">
        <w:trPr>
          <w:trHeight w:val="279"/>
        </w:trPr>
        <w:tc>
          <w:tcPr>
            <w:tcW w:w="897" w:type="dxa"/>
            <w:vMerge w:val="restart"/>
            <w:vAlign w:val="center"/>
          </w:tcPr>
          <w:p w14:paraId="1D390820" w14:textId="77777777" w:rsidR="00D31F4D" w:rsidRPr="00D31F4D" w:rsidRDefault="00D31F4D" w:rsidP="00D31F4D">
            <w:pPr>
              <w:spacing w:before="20" w:after="20" w:line="240" w:lineRule="auto"/>
              <w:jc w:val="center"/>
              <w:rPr>
                <w:sz w:val="18"/>
              </w:rPr>
            </w:pPr>
            <w:r w:rsidRPr="00D31F4D">
              <w:rPr>
                <w:sz w:val="18"/>
              </w:rPr>
              <w:t>no symbol</w:t>
            </w:r>
          </w:p>
        </w:tc>
        <w:tc>
          <w:tcPr>
            <w:tcW w:w="8499" w:type="dxa"/>
          </w:tcPr>
          <w:p w14:paraId="2FF96A8C" w14:textId="77777777" w:rsidR="00D31F4D" w:rsidRPr="00D31F4D" w:rsidRDefault="00D31F4D" w:rsidP="00D31F4D">
            <w:pPr>
              <w:spacing w:before="20" w:after="20" w:line="240" w:lineRule="auto"/>
            </w:pPr>
            <w:r w:rsidRPr="00D31F4D">
              <w:t>Plain text indicates teacher action.</w:t>
            </w:r>
          </w:p>
        </w:tc>
      </w:tr>
      <w:tr w:rsidR="00D31F4D" w:rsidRPr="00D31F4D" w14:paraId="3493A3E6" w14:textId="77777777" w:rsidTr="00320094">
        <w:trPr>
          <w:trHeight w:val="291"/>
        </w:trPr>
        <w:tc>
          <w:tcPr>
            <w:tcW w:w="897" w:type="dxa"/>
            <w:vMerge/>
          </w:tcPr>
          <w:p w14:paraId="60D1B942" w14:textId="77777777" w:rsidR="00D31F4D" w:rsidRPr="00D31F4D" w:rsidRDefault="00D31F4D" w:rsidP="00D31F4D">
            <w:pPr>
              <w:spacing w:before="20" w:after="20" w:line="240" w:lineRule="auto"/>
              <w:jc w:val="center"/>
              <w:rPr>
                <w:b/>
                <w:color w:val="000000"/>
              </w:rPr>
            </w:pPr>
          </w:p>
        </w:tc>
        <w:tc>
          <w:tcPr>
            <w:tcW w:w="8499" w:type="dxa"/>
          </w:tcPr>
          <w:p w14:paraId="68BCF86F"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7407BB00" w14:textId="77777777" w:rsidTr="00320094">
        <w:trPr>
          <w:trHeight w:val="291"/>
        </w:trPr>
        <w:tc>
          <w:tcPr>
            <w:tcW w:w="897" w:type="dxa"/>
            <w:vMerge/>
          </w:tcPr>
          <w:p w14:paraId="1F0385C6" w14:textId="77777777" w:rsidR="00D31F4D" w:rsidRPr="00D31F4D" w:rsidRDefault="00D31F4D" w:rsidP="00D31F4D">
            <w:pPr>
              <w:spacing w:before="20" w:after="20" w:line="240" w:lineRule="auto"/>
              <w:jc w:val="center"/>
              <w:rPr>
                <w:b/>
                <w:color w:val="000000"/>
              </w:rPr>
            </w:pPr>
          </w:p>
        </w:tc>
        <w:tc>
          <w:tcPr>
            <w:tcW w:w="8499" w:type="dxa"/>
          </w:tcPr>
          <w:p w14:paraId="652FC0E3"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1F7920A8" w14:textId="77777777" w:rsidTr="00320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97" w:type="dxa"/>
            <w:vAlign w:val="bottom"/>
          </w:tcPr>
          <w:p w14:paraId="679DD679" w14:textId="77777777" w:rsidR="00D31F4D" w:rsidRPr="00D31F4D" w:rsidRDefault="00D31F4D" w:rsidP="00D31F4D">
            <w:pPr>
              <w:spacing w:before="40" w:after="0" w:line="240" w:lineRule="auto"/>
              <w:jc w:val="center"/>
            </w:pPr>
            <w:r w:rsidRPr="00D31F4D">
              <w:sym w:font="Webdings" w:char="F034"/>
            </w:r>
          </w:p>
        </w:tc>
        <w:tc>
          <w:tcPr>
            <w:tcW w:w="8499" w:type="dxa"/>
          </w:tcPr>
          <w:p w14:paraId="2D39DA51" w14:textId="77777777" w:rsidR="00D31F4D" w:rsidRPr="00D31F4D" w:rsidRDefault="00D31F4D" w:rsidP="00D31F4D">
            <w:pPr>
              <w:spacing w:before="20" w:after="20" w:line="240" w:lineRule="auto"/>
            </w:pPr>
            <w:r w:rsidRPr="00D31F4D">
              <w:t>Indicates student action(s).</w:t>
            </w:r>
          </w:p>
        </w:tc>
      </w:tr>
      <w:tr w:rsidR="00D31F4D" w:rsidRPr="00D31F4D" w14:paraId="42633064" w14:textId="77777777" w:rsidTr="00320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897" w:type="dxa"/>
            <w:vAlign w:val="center"/>
          </w:tcPr>
          <w:p w14:paraId="04E68E99" w14:textId="77777777" w:rsidR="00D31F4D" w:rsidRPr="00D31F4D" w:rsidRDefault="00D31F4D" w:rsidP="00D31F4D">
            <w:pPr>
              <w:spacing w:before="80" w:after="0" w:line="240" w:lineRule="auto"/>
              <w:jc w:val="center"/>
            </w:pPr>
            <w:r w:rsidRPr="00D31F4D">
              <w:sym w:font="Webdings" w:char="F028"/>
            </w:r>
          </w:p>
        </w:tc>
        <w:tc>
          <w:tcPr>
            <w:tcW w:w="8499" w:type="dxa"/>
          </w:tcPr>
          <w:p w14:paraId="1BF93496"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329587D8" w14:textId="77777777" w:rsidTr="00320094">
        <w:trPr>
          <w:trHeight w:val="304"/>
        </w:trPr>
        <w:tc>
          <w:tcPr>
            <w:tcW w:w="897" w:type="dxa"/>
            <w:vAlign w:val="bottom"/>
          </w:tcPr>
          <w:p w14:paraId="72443442"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99" w:type="dxa"/>
          </w:tcPr>
          <w:p w14:paraId="3D95B034"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2D8931DA"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034A3D82" w14:textId="25930BE4" w:rsidR="00BE5C13" w:rsidRDefault="002B65E1" w:rsidP="00551BB2">
      <w:pPr>
        <w:pStyle w:val="TA"/>
      </w:pPr>
      <w:r>
        <w:t xml:space="preserve">Begin by reviewing the agenda and </w:t>
      </w:r>
      <w:r w:rsidR="00010170">
        <w:t xml:space="preserve">the assessed </w:t>
      </w:r>
      <w:r>
        <w:t xml:space="preserve">standard for this lesson: </w:t>
      </w:r>
      <w:r w:rsidR="00EE757F">
        <w:t>RL.9-10.4</w:t>
      </w:r>
      <w:r w:rsidR="004C0729">
        <w:t xml:space="preserve">. </w:t>
      </w:r>
      <w:r w:rsidR="00EE757F">
        <w:t>Students read an</w:t>
      </w:r>
      <w:bookmarkStart w:id="0" w:name="_GoBack"/>
      <w:bookmarkEnd w:id="0"/>
      <w:r w:rsidR="00EE757F">
        <w:t xml:space="preserve"> excerpt from the “Hangman” chapter of David Mitchell’s </w:t>
      </w:r>
      <w:r w:rsidR="00EE757F">
        <w:rPr>
          <w:i/>
        </w:rPr>
        <w:t>Black Swan Green</w:t>
      </w:r>
      <w:r w:rsidR="000D3FF1">
        <w:t>,</w:t>
      </w:r>
      <w:r w:rsidR="00EE757F">
        <w:rPr>
          <w:i/>
        </w:rPr>
        <w:t xml:space="preserve"> </w:t>
      </w:r>
      <w:r w:rsidR="00EE757F">
        <w:t>p</w:t>
      </w:r>
      <w:r w:rsidR="00DB5E94">
        <w:t xml:space="preserve">ages </w:t>
      </w:r>
      <w:r w:rsidR="00EE757F">
        <w:t>24</w:t>
      </w:r>
      <w:r w:rsidR="00C5159A">
        <w:t>–</w:t>
      </w:r>
      <w:r w:rsidR="00EE757F">
        <w:t>26</w:t>
      </w:r>
      <w:r w:rsidR="00EE757F">
        <w:rPr>
          <w:i/>
        </w:rPr>
        <w:t xml:space="preserve"> </w:t>
      </w:r>
      <w:r w:rsidR="00EE757F" w:rsidRPr="00551BB2">
        <w:t>(from “</w:t>
      </w:r>
      <w:r w:rsidR="00EE757F">
        <w:t xml:space="preserve">So </w:t>
      </w:r>
      <w:r w:rsidR="00EE757F">
        <w:lastRenderedPageBreak/>
        <w:t>anyway, Mum dropped me at Malvern Link</w:t>
      </w:r>
      <w:r w:rsidR="00EE757F" w:rsidRPr="00551BB2">
        <w:t>” to “</w:t>
      </w:r>
      <w:r w:rsidR="00DB5E94">
        <w:t xml:space="preserve">the speech therapist at Malvern Link clinic. </w:t>
      </w:r>
      <w:r w:rsidR="00EE757F">
        <w:t>That was five years ago</w:t>
      </w:r>
      <w:r w:rsidR="00EE757F" w:rsidRPr="00551BB2">
        <w:t>”)</w:t>
      </w:r>
      <w:r w:rsidR="002A762D">
        <w:t>,</w:t>
      </w:r>
      <w:r w:rsidR="00EE757F">
        <w:t xml:space="preserve"> and analyze the cumulative impact of Mitchell’s specific word choices on meaning and tone.</w:t>
      </w:r>
    </w:p>
    <w:p w14:paraId="52265860" w14:textId="153BE9BF" w:rsidR="00944186" w:rsidRPr="00551BB2" w:rsidRDefault="002B65E1" w:rsidP="00944186">
      <w:pPr>
        <w:pStyle w:val="SA"/>
      </w:pPr>
      <w:r>
        <w:t xml:space="preserve">Students </w:t>
      </w:r>
      <w:r w:rsidR="00010170">
        <w:t>look at the agenda</w:t>
      </w:r>
      <w:r>
        <w:t>.</w:t>
      </w:r>
    </w:p>
    <w:p w14:paraId="241944E7" w14:textId="77777777" w:rsidR="00790BCC" w:rsidRPr="00790BCC" w:rsidRDefault="00790BCC" w:rsidP="007017EB">
      <w:pPr>
        <w:pStyle w:val="LearningSequenceHeader"/>
      </w:pPr>
      <w:r w:rsidRPr="00790BCC">
        <w:t>Activity 2: Homework Accountability</w:t>
      </w:r>
      <w:r w:rsidRPr="00790BCC">
        <w:tab/>
        <w:t>10%</w:t>
      </w:r>
    </w:p>
    <w:p w14:paraId="78751D38" w14:textId="426D59CE" w:rsidR="00E57DDE" w:rsidRDefault="00E57DDE" w:rsidP="00E57DDE">
      <w:pPr>
        <w:pStyle w:val="TA"/>
      </w:pPr>
      <w:r w:rsidRPr="00E51822">
        <w:t xml:space="preserve">Instruct students to talk in pairs about </w:t>
      </w:r>
      <w:r>
        <w:t xml:space="preserve">their written responses to the </w:t>
      </w:r>
      <w:r w:rsidR="00DB5E94">
        <w:t>previous lesson’s homework prompt</w:t>
      </w:r>
      <w:r w:rsidR="00010170">
        <w:t>.</w:t>
      </w:r>
      <w:r>
        <w:t xml:space="preserve"> (Write a brief reflection about how your preparation helped you with the Mid-Unit Assessment</w:t>
      </w:r>
      <w:r w:rsidR="00010170">
        <w:t>,</w:t>
      </w:r>
      <w:r>
        <w:t xml:space="preserve"> or how you might have prepared more effectively</w:t>
      </w:r>
      <w:r w:rsidR="00010170">
        <w:t>.</w:t>
      </w:r>
      <w:r>
        <w:t>)</w:t>
      </w:r>
    </w:p>
    <w:p w14:paraId="3FEEDC3D" w14:textId="77777777" w:rsidR="00E57DDE" w:rsidRDefault="00E57DDE" w:rsidP="00E57DDE">
      <w:pPr>
        <w:pStyle w:val="SA"/>
        <w:numPr>
          <w:ilvl w:val="0"/>
          <w:numId w:val="8"/>
        </w:numPr>
      </w:pPr>
      <w:r>
        <w:t>Student pairs discuss their written responses to the homework prompt.</w:t>
      </w:r>
    </w:p>
    <w:p w14:paraId="4983E368" w14:textId="77777777" w:rsidR="00E57DDE" w:rsidRDefault="00E57DDE" w:rsidP="00E57DDE">
      <w:pPr>
        <w:pStyle w:val="SR"/>
      </w:pPr>
      <w:r>
        <w:t>Student responses may include:</w:t>
      </w:r>
    </w:p>
    <w:p w14:paraId="63B7DF0D" w14:textId="77777777" w:rsidR="00E57DDE" w:rsidRDefault="00E57DDE" w:rsidP="00E57DDE">
      <w:pPr>
        <w:pStyle w:val="SASRBullet"/>
      </w:pPr>
      <w:r>
        <w:t>Preparing for the Mid-Unit Assessment allowed me to use the best evidence to support my response.</w:t>
      </w:r>
    </w:p>
    <w:p w14:paraId="1FF4E07F" w14:textId="77777777" w:rsidR="00E57DDE" w:rsidRDefault="00E57DDE" w:rsidP="00E57DDE">
      <w:pPr>
        <w:pStyle w:val="SASRBullet"/>
      </w:pPr>
      <w:r>
        <w:t>Preparing for the Mid-Unit Assessment prepared me to respond fully to the prompt.</w:t>
      </w:r>
    </w:p>
    <w:p w14:paraId="10553BC3" w14:textId="0111AB03" w:rsidR="00C2200F" w:rsidRPr="00185F9E" w:rsidRDefault="00E57DDE" w:rsidP="001321F6">
      <w:pPr>
        <w:pStyle w:val="SASRBullet"/>
      </w:pPr>
      <w:r>
        <w:t>I could have more effectively prepared for the Mid-Unit Assessment by organizing my tools and annotations.</w:t>
      </w:r>
      <w:r w:rsidR="00D911CD">
        <w:t xml:space="preserve"> </w:t>
      </w:r>
    </w:p>
    <w:p w14:paraId="30E2503A" w14:textId="77777777" w:rsidR="00047FE3" w:rsidRDefault="001321F6" w:rsidP="004D4D74">
      <w:pPr>
        <w:pStyle w:val="LearningSequenceHeader"/>
      </w:pPr>
      <w:r>
        <w:t xml:space="preserve">Activity 3: </w:t>
      </w:r>
      <w:r w:rsidR="00047FE3">
        <w:t>Masterful Reading</w:t>
      </w:r>
      <w:r w:rsidR="00047FE3">
        <w:tab/>
        <w:t>15%</w:t>
      </w:r>
    </w:p>
    <w:p w14:paraId="752C973C" w14:textId="3F4A8A25" w:rsidR="00E57DDE" w:rsidRDefault="001321F6" w:rsidP="001321F6">
      <w:pPr>
        <w:pStyle w:val="TA"/>
      </w:pPr>
      <w:r>
        <w:t xml:space="preserve">Have students listen </w:t>
      </w:r>
      <w:r w:rsidR="00047FE3">
        <w:t>to a masterful reading of p</w:t>
      </w:r>
      <w:r w:rsidR="00DB5E94">
        <w:t>ages</w:t>
      </w:r>
      <w:r w:rsidR="00061DE0">
        <w:t xml:space="preserve"> </w:t>
      </w:r>
      <w:r w:rsidR="00047FE3">
        <w:t>24</w:t>
      </w:r>
      <w:r w:rsidR="009D6F88">
        <w:t>–</w:t>
      </w:r>
      <w:r w:rsidR="00047FE3">
        <w:t>26</w:t>
      </w:r>
      <w:r w:rsidR="009D6F88">
        <w:t xml:space="preserve"> </w:t>
      </w:r>
      <w:r w:rsidR="00047FE3">
        <w:t xml:space="preserve">of David Mitchell’s </w:t>
      </w:r>
      <w:r w:rsidR="00047FE3">
        <w:rPr>
          <w:i/>
        </w:rPr>
        <w:t>Black Swan Gree</w:t>
      </w:r>
      <w:r w:rsidR="00351BD4">
        <w:rPr>
          <w:i/>
        </w:rPr>
        <w:t>n</w:t>
      </w:r>
      <w:r w:rsidR="000D3FF1">
        <w:t>.</w:t>
      </w:r>
      <w:r w:rsidR="00047FE3" w:rsidRPr="00551BB2">
        <w:t xml:space="preserve"> </w:t>
      </w:r>
      <w:r w:rsidR="00047FE3">
        <w:t xml:space="preserve">As students listen, </w:t>
      </w:r>
      <w:r w:rsidR="00DB5E94">
        <w:t xml:space="preserve">instruct </w:t>
      </w:r>
      <w:r w:rsidR="00047FE3">
        <w:t>them to focus on how Mitchell’s specific word choice</w:t>
      </w:r>
      <w:r w:rsidR="00E57DDE">
        <w:t xml:space="preserve">s develop Jason’s tone. </w:t>
      </w:r>
    </w:p>
    <w:p w14:paraId="4994EE3F" w14:textId="77777777" w:rsidR="00047FE3" w:rsidRDefault="0021315A" w:rsidP="00047FE3">
      <w:pPr>
        <w:pStyle w:val="IN"/>
      </w:pPr>
      <w:r>
        <w:rPr>
          <w:b/>
        </w:rPr>
        <w:t>Differentiation Consideration</w:t>
      </w:r>
      <w:r w:rsidR="00047FE3" w:rsidRPr="00320094">
        <w:rPr>
          <w:b/>
        </w:rPr>
        <w:t>:</w:t>
      </w:r>
      <w:r w:rsidR="00047FE3">
        <w:t xml:space="preserve"> Consider posting or projecting the following guiding question to support students in their reading throughout this lesson:</w:t>
      </w:r>
    </w:p>
    <w:p w14:paraId="7184D015" w14:textId="77777777" w:rsidR="00047FE3" w:rsidRDefault="0021315A" w:rsidP="000F2111">
      <w:pPr>
        <w:pStyle w:val="DCwithQ"/>
      </w:pPr>
      <w:r w:rsidRPr="000F2111">
        <w:t>Who is speaking during this excerpt</w:t>
      </w:r>
      <w:r w:rsidR="00047FE3" w:rsidRPr="000F2111">
        <w:t>?</w:t>
      </w:r>
    </w:p>
    <w:p w14:paraId="3CCC0AAA" w14:textId="77777777" w:rsidR="00263AF9" w:rsidRDefault="00263AF9" w:rsidP="00263AF9">
      <w:pPr>
        <w:pStyle w:val="SA"/>
      </w:pPr>
      <w:r w:rsidRPr="000F2111">
        <w:rPr>
          <w:rStyle w:val="SAChar"/>
        </w:rPr>
        <w:t>Students follow along</w:t>
      </w:r>
      <w:r>
        <w:rPr>
          <w:rStyle w:val="SAChar"/>
        </w:rPr>
        <w:t>,</w:t>
      </w:r>
      <w:r w:rsidRPr="000F2111">
        <w:rPr>
          <w:rStyle w:val="SAChar"/>
        </w:rPr>
        <w:t xml:space="preserve"> reading silently</w:t>
      </w:r>
      <w:r>
        <w:t>.</w:t>
      </w:r>
    </w:p>
    <w:p w14:paraId="3481FC93" w14:textId="77777777" w:rsidR="00790BCC" w:rsidRPr="00790BCC" w:rsidRDefault="00BE5C13" w:rsidP="007017EB">
      <w:pPr>
        <w:pStyle w:val="LearningSequenceHeader"/>
      </w:pPr>
      <w:r>
        <w:t xml:space="preserve">Activity </w:t>
      </w:r>
      <w:r w:rsidR="001321F6">
        <w:t>4</w:t>
      </w:r>
      <w:r>
        <w:t>: Reading and Discussion</w:t>
      </w:r>
      <w:r w:rsidR="00047FE3">
        <w:tab/>
        <w:t>50</w:t>
      </w:r>
      <w:r w:rsidR="00790BCC" w:rsidRPr="00790BCC">
        <w:t>%</w:t>
      </w:r>
    </w:p>
    <w:p w14:paraId="729E861D" w14:textId="77777777" w:rsidR="00293F58" w:rsidRDefault="00293F58" w:rsidP="00293F58">
      <w:pPr>
        <w:pStyle w:val="IN"/>
      </w:pPr>
      <w:r>
        <w:t xml:space="preserve">Consider reminding students that </w:t>
      </w:r>
      <w:r w:rsidRPr="00FB1249">
        <w:rPr>
          <w:i/>
        </w:rPr>
        <w:t>Black Swan Green</w:t>
      </w:r>
      <w:r>
        <w:t xml:space="preserve"> is a novel, so the chapters comprise a larger story. Explain that each chapter represents one month of the narrator’s life, and Jason is the narrator throughout the entire novel. Although students will not read every chapter as part of this unit, they can still conduct meaningful analysis including how the author develops characters and central ideas.</w:t>
      </w:r>
    </w:p>
    <w:p w14:paraId="79C368AB" w14:textId="1BA36DDD" w:rsidR="00BE5C13" w:rsidRPr="000F2111" w:rsidRDefault="00BE5C13" w:rsidP="000F2111">
      <w:pPr>
        <w:pStyle w:val="TA"/>
      </w:pPr>
      <w:r w:rsidRPr="000F2111">
        <w:lastRenderedPageBreak/>
        <w:t xml:space="preserve">Instruct students to form pairs. Post or project </w:t>
      </w:r>
      <w:r w:rsidR="007D36FF">
        <w:t>the questions</w:t>
      </w:r>
      <w:r w:rsidRPr="000F2111">
        <w:t xml:space="preserve"> below for students to discuss.</w:t>
      </w:r>
      <w:r w:rsidR="00C45638">
        <w:t xml:space="preserve"> Instruct students to continue to annotate the text as they read and discuss.</w:t>
      </w:r>
    </w:p>
    <w:p w14:paraId="58935D15" w14:textId="7CAF9C59" w:rsidR="00BE5C13" w:rsidRDefault="00BE5C13" w:rsidP="00BE5C13">
      <w:pPr>
        <w:pStyle w:val="TA"/>
      </w:pPr>
      <w:r>
        <w:t>Instruct student</w:t>
      </w:r>
      <w:r w:rsidR="00C45638">
        <w:t xml:space="preserve"> pairs</w:t>
      </w:r>
      <w:r>
        <w:t xml:space="preserve"> to read </w:t>
      </w:r>
      <w:r w:rsidR="00CB64DA">
        <w:t>p</w:t>
      </w:r>
      <w:r w:rsidR="00DB5E94">
        <w:t xml:space="preserve">ages </w:t>
      </w:r>
      <w:r w:rsidR="00CB64DA">
        <w:t>24</w:t>
      </w:r>
      <w:r w:rsidR="009D6F88">
        <w:t>–</w:t>
      </w:r>
      <w:r w:rsidR="00CB64DA">
        <w:t>25</w:t>
      </w:r>
      <w:r w:rsidR="009D6F88">
        <w:t xml:space="preserve"> </w:t>
      </w:r>
      <w:r w:rsidR="00047FE3">
        <w:t xml:space="preserve">of David Mitchell’s </w:t>
      </w:r>
      <w:r w:rsidR="00047FE3">
        <w:rPr>
          <w:i/>
        </w:rPr>
        <w:t xml:space="preserve">Black Swan Green </w:t>
      </w:r>
      <w:r w:rsidR="00047FE3" w:rsidRPr="00551BB2">
        <w:t>(from “</w:t>
      </w:r>
      <w:r w:rsidR="00047FE3">
        <w:t>So anyway, Mum dropped me at Malvern Link</w:t>
      </w:r>
      <w:r w:rsidR="00047FE3" w:rsidRPr="00551BB2">
        <w:t>” to “</w:t>
      </w:r>
      <w:r w:rsidR="007D704A">
        <w:t>An American woma</w:t>
      </w:r>
      <w:r w:rsidR="00CB64DA">
        <w:t>n in it’d taught</w:t>
      </w:r>
      <w:r w:rsidR="00A66073">
        <w:t xml:space="preserve"> chimpanzees to speak in sign language</w:t>
      </w:r>
      <w:r w:rsidR="00047FE3" w:rsidRPr="00551BB2">
        <w:t>”)</w:t>
      </w:r>
      <w:r w:rsidR="00047FE3">
        <w:t xml:space="preserve"> </w:t>
      </w:r>
      <w:r>
        <w:t xml:space="preserve">and </w:t>
      </w:r>
      <w:r w:rsidR="00C45638">
        <w:t>answer</w:t>
      </w:r>
      <w:r w:rsidR="00D72E6F">
        <w:t xml:space="preserve"> </w:t>
      </w:r>
      <w:r>
        <w:t>the following questions before sharing out with the class.</w:t>
      </w:r>
    </w:p>
    <w:p w14:paraId="2866DD4D" w14:textId="38C0EF8D" w:rsidR="00AD0AB8" w:rsidRDefault="00AD0AB8" w:rsidP="00BE5C13">
      <w:pPr>
        <w:pStyle w:val="TA"/>
      </w:pPr>
      <w:r>
        <w:t>Provide students with the following definitions</w:t>
      </w:r>
      <w:r w:rsidR="00061DE0">
        <w:t xml:space="preserve">: </w:t>
      </w:r>
      <w:r>
        <w:rPr>
          <w:i/>
        </w:rPr>
        <w:t xml:space="preserve">acest </w:t>
      </w:r>
      <w:r>
        <w:t>means “coolest</w:t>
      </w:r>
      <w:r w:rsidR="00D976C4">
        <w:t>,</w:t>
      </w:r>
      <w:r>
        <w:t xml:space="preserve">” </w:t>
      </w:r>
      <w:r>
        <w:rPr>
          <w:i/>
        </w:rPr>
        <w:t>Bunsen-burnered</w:t>
      </w:r>
      <w:r>
        <w:t xml:space="preserve"> means “burned with a Bunsen-burner, a type of gas burner</w:t>
      </w:r>
      <w:r w:rsidR="00D976C4">
        <w:t>,</w:t>
      </w:r>
      <w:r>
        <w:t xml:space="preserve">” </w:t>
      </w:r>
      <w:r w:rsidR="004D4D74">
        <w:rPr>
          <w:i/>
        </w:rPr>
        <w:t xml:space="preserve">satchel </w:t>
      </w:r>
      <w:r w:rsidR="004D4D74">
        <w:t>means “a small bag, sometimes with a shoulder strap</w:t>
      </w:r>
      <w:r w:rsidR="00D976C4">
        <w:t>,</w:t>
      </w:r>
      <w:r w:rsidR="004D4D74" w:rsidRPr="004D4D74">
        <w:t>”</w:t>
      </w:r>
      <w:r w:rsidR="004D4D74">
        <w:rPr>
          <w:i/>
        </w:rPr>
        <w:t xml:space="preserve"> </w:t>
      </w:r>
      <w:r>
        <w:rPr>
          <w:i/>
        </w:rPr>
        <w:t>froggering</w:t>
      </w:r>
      <w:r>
        <w:t xml:space="preserve"> means “</w:t>
      </w:r>
      <w:r w:rsidR="009E386B">
        <w:t>jumping</w:t>
      </w:r>
      <w:r w:rsidR="00D976C4">
        <w:t>,</w:t>
      </w:r>
      <w:r w:rsidR="009E386B">
        <w:t xml:space="preserve">” </w:t>
      </w:r>
      <w:r>
        <w:rPr>
          <w:i/>
        </w:rPr>
        <w:t xml:space="preserve">skive </w:t>
      </w:r>
      <w:r>
        <w:t>means “cut</w:t>
      </w:r>
      <w:r w:rsidR="00D976C4">
        <w:t>,</w:t>
      </w:r>
      <w:r>
        <w:t xml:space="preserve">” </w:t>
      </w:r>
      <w:r w:rsidR="00302D12">
        <w:rPr>
          <w:i/>
        </w:rPr>
        <w:t xml:space="preserve">gorse </w:t>
      </w:r>
      <w:r w:rsidR="00302D12">
        <w:t>means “a spiny yellow-flowered European shrub</w:t>
      </w:r>
      <w:r w:rsidR="00D976C4">
        <w:t>,</w:t>
      </w:r>
      <w:r w:rsidR="00302D12">
        <w:t>”</w:t>
      </w:r>
      <w:r w:rsidR="00061DE0">
        <w:t xml:space="preserve"> and</w:t>
      </w:r>
      <w:r w:rsidR="00302D12">
        <w:t xml:space="preserve"> </w:t>
      </w:r>
      <w:r w:rsidR="00302D12">
        <w:rPr>
          <w:i/>
        </w:rPr>
        <w:t>hobbit</w:t>
      </w:r>
      <w:r w:rsidR="00302D12">
        <w:t>y means “short, tiny</w:t>
      </w:r>
      <w:r w:rsidR="00061DE0">
        <w:t>.</w:t>
      </w:r>
      <w:r w:rsidR="00302D12">
        <w:t xml:space="preserve">” </w:t>
      </w:r>
    </w:p>
    <w:p w14:paraId="0D449151" w14:textId="77777777" w:rsidR="00302D12" w:rsidRDefault="00302D12" w:rsidP="00302D12">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1A8788B3" w14:textId="3E12F692" w:rsidR="00302D12" w:rsidRDefault="00302D12" w:rsidP="001321F6">
      <w:pPr>
        <w:pStyle w:val="SA"/>
      </w:pPr>
      <w:r>
        <w:t xml:space="preserve">Students write the definitions of </w:t>
      </w:r>
      <w:r>
        <w:rPr>
          <w:i/>
        </w:rPr>
        <w:t xml:space="preserve">acest, Bunsen-burnered, </w:t>
      </w:r>
      <w:r w:rsidR="00C5159A">
        <w:rPr>
          <w:i/>
        </w:rPr>
        <w:t xml:space="preserve">satchel, </w:t>
      </w:r>
      <w:r>
        <w:rPr>
          <w:i/>
        </w:rPr>
        <w:t xml:space="preserve">froggering, skive, gorse, </w:t>
      </w:r>
      <w:r>
        <w:t xml:space="preserve">and </w:t>
      </w:r>
      <w:r>
        <w:rPr>
          <w:i/>
        </w:rPr>
        <w:t xml:space="preserve">hobbity </w:t>
      </w:r>
      <w:r>
        <w:t>on their cop</w:t>
      </w:r>
      <w:r w:rsidR="00061DE0">
        <w:t>ies</w:t>
      </w:r>
      <w:r>
        <w:t xml:space="preserve"> of the text or in </w:t>
      </w:r>
      <w:r w:rsidR="00D976C4">
        <w:t xml:space="preserve">a </w:t>
      </w:r>
      <w:r>
        <w:t>vocabulary jo</w:t>
      </w:r>
      <w:r w:rsidR="00DF36AF">
        <w:t>ur</w:t>
      </w:r>
      <w:r>
        <w:t>nal</w:t>
      </w:r>
      <w:r w:rsidR="00D976C4">
        <w:t>.</w:t>
      </w:r>
    </w:p>
    <w:p w14:paraId="5C93FE50" w14:textId="61F5436C" w:rsidR="00302D12" w:rsidRDefault="00302D12" w:rsidP="00302D12">
      <w:pPr>
        <w:pStyle w:val="IN"/>
      </w:pPr>
      <w:r>
        <w:rPr>
          <w:b/>
        </w:rPr>
        <w:t xml:space="preserve">Differentiation Consideration: </w:t>
      </w:r>
      <w:r>
        <w:t xml:space="preserve">Consider providing students with the following definitions: </w:t>
      </w:r>
      <w:r>
        <w:rPr>
          <w:i/>
        </w:rPr>
        <w:t xml:space="preserve">clinic </w:t>
      </w:r>
      <w:r>
        <w:t>means “a place where people get medical help”</w:t>
      </w:r>
      <w:r w:rsidR="00DD5988">
        <w:t xml:space="preserve"> and</w:t>
      </w:r>
      <w:r>
        <w:t xml:space="preserve"> </w:t>
      </w:r>
      <w:r>
        <w:rPr>
          <w:i/>
        </w:rPr>
        <w:t xml:space="preserve">receptionist </w:t>
      </w:r>
      <w:r>
        <w:t>means “a person whose job is to deal with the people who call or enter an office, hotel, etc.”</w:t>
      </w:r>
    </w:p>
    <w:p w14:paraId="34902140" w14:textId="0BA5CD1E" w:rsidR="00302D12" w:rsidRDefault="00302D12" w:rsidP="00302D12">
      <w:pPr>
        <w:pStyle w:val="DCwithSA"/>
      </w:pPr>
      <w:r>
        <w:t xml:space="preserve">Students write the definitions of </w:t>
      </w:r>
      <w:r>
        <w:rPr>
          <w:i/>
        </w:rPr>
        <w:t>clinic</w:t>
      </w:r>
      <w:r>
        <w:t xml:space="preserve"> and </w:t>
      </w:r>
      <w:r>
        <w:rPr>
          <w:i/>
        </w:rPr>
        <w:t>receptionist</w:t>
      </w:r>
      <w:r>
        <w:t xml:space="preserve"> on their cop</w:t>
      </w:r>
      <w:r w:rsidR="00320094">
        <w:t>ies</w:t>
      </w:r>
      <w:r>
        <w:t xml:space="preserve"> of the text or in</w:t>
      </w:r>
      <w:r w:rsidR="00D976C4">
        <w:t xml:space="preserve"> </w:t>
      </w:r>
      <w:r w:rsidR="009D6F88">
        <w:t xml:space="preserve">a </w:t>
      </w:r>
      <w:r>
        <w:t>vocabulary journal.</w:t>
      </w:r>
    </w:p>
    <w:p w14:paraId="18585417" w14:textId="72BAB4F6" w:rsidR="0005168D" w:rsidRPr="00302D12" w:rsidRDefault="0005168D" w:rsidP="0005168D">
      <w:pPr>
        <w:pStyle w:val="IN"/>
      </w:pPr>
      <w:r>
        <w:t>Consider reviewing contractions with students to acclimate them to the narrator’s informal style.</w:t>
      </w:r>
      <w:r w:rsidR="001941D2">
        <w:t xml:space="preserve"> For example, “</w:t>
      </w:r>
      <w:r w:rsidR="009E386B">
        <w:t xml:space="preserve">Pluto </w:t>
      </w:r>
      <w:r w:rsidR="001941D2">
        <w:t>Noak’d</w:t>
      </w:r>
      <w:r w:rsidR="009E386B">
        <w:t xml:space="preserve"> hit</w:t>
      </w:r>
      <w:r w:rsidR="001941D2">
        <w:t>” (p.</w:t>
      </w:r>
      <w:r w:rsidR="00061DE0">
        <w:t xml:space="preserve"> </w:t>
      </w:r>
      <w:r w:rsidR="001941D2">
        <w:t xml:space="preserve">25) means </w:t>
      </w:r>
      <w:r w:rsidR="009E386B">
        <w:t>“Pluto Noak had hit</w:t>
      </w:r>
      <w:r w:rsidR="00061DE0">
        <w:t>,</w:t>
      </w:r>
      <w:r w:rsidR="009E386B">
        <w:t xml:space="preserve">” </w:t>
      </w:r>
      <w:r w:rsidR="009D6F88">
        <w:t xml:space="preserve">and </w:t>
      </w:r>
      <w:r w:rsidR="009E386B">
        <w:t>“Stammering’s where you get stuck” (p.</w:t>
      </w:r>
      <w:r w:rsidR="00061DE0">
        <w:t xml:space="preserve"> </w:t>
      </w:r>
      <w:r w:rsidR="009E386B">
        <w:t>26) means “Stammering is where you get stuck.”</w:t>
      </w:r>
    </w:p>
    <w:p w14:paraId="0F9EC6E8" w14:textId="77777777" w:rsidR="000221F5" w:rsidRDefault="008C6E91" w:rsidP="00047FE3">
      <w:pPr>
        <w:pStyle w:val="Q"/>
      </w:pPr>
      <w:r>
        <w:t>How does Mitchell develop the setting of Jason’s school on page 25?</w:t>
      </w:r>
    </w:p>
    <w:p w14:paraId="59416FDF" w14:textId="77777777" w:rsidR="00EC5C7C" w:rsidRDefault="00EC5C7C" w:rsidP="00FA3DA3">
      <w:pPr>
        <w:pStyle w:val="SR"/>
      </w:pPr>
      <w:r>
        <w:t>Student responses may include:</w:t>
      </w:r>
    </w:p>
    <w:p w14:paraId="3E6DA3B1" w14:textId="4D812C67" w:rsidR="0021315A" w:rsidRDefault="00E46E1B" w:rsidP="001321F6">
      <w:pPr>
        <w:pStyle w:val="SASRBullet"/>
      </w:pPr>
      <w:r>
        <w:t>Mitchell develops the violent setting of Jason’s school through Jason’s description of the “mass scrap” between the “fourth years” at Jason’s school and those of “Dyson Perrins School”</w:t>
      </w:r>
      <w:r w:rsidR="0000582A">
        <w:t xml:space="preserve"> (p. 25).</w:t>
      </w:r>
      <w:r>
        <w:t xml:space="preserve"> At this fight, “Pluto Noak” is rumored to have hit another boy so hard</w:t>
      </w:r>
      <w:r w:rsidR="009D6F88">
        <w:t>,</w:t>
      </w:r>
      <w:r>
        <w:t xml:space="preserve"> doctors “had to sew his jaw back on”</w:t>
      </w:r>
      <w:r w:rsidR="0000582A">
        <w:t xml:space="preserve"> (p. 25).</w:t>
      </w:r>
    </w:p>
    <w:p w14:paraId="0F2D8370" w14:textId="1ABFED68" w:rsidR="00E57DDE" w:rsidRDefault="00EC5C7C" w:rsidP="001321F6">
      <w:pPr>
        <w:pStyle w:val="SASRBullet"/>
      </w:pPr>
      <w:r>
        <w:t xml:space="preserve">Mitchell develops the tough setting of Jason’s school through phrases like “any ‘Lorenzo’ in </w:t>
      </w:r>
      <w:r>
        <w:rPr>
          <w:i/>
        </w:rPr>
        <w:t>my</w:t>
      </w:r>
      <w:r>
        <w:t xml:space="preserve"> school’d</w:t>
      </w:r>
      <w:r w:rsidR="00FA480E">
        <w:t xml:space="preserve"> get Bunsen-burnered to death</w:t>
      </w:r>
      <w:r w:rsidR="00072A82">
        <w:t>”</w:t>
      </w:r>
      <w:r w:rsidR="0000582A">
        <w:t xml:space="preserve"> (p. 25)</w:t>
      </w:r>
      <w:r w:rsidR="00D976C4">
        <w:t>,</w:t>
      </w:r>
      <w:r w:rsidR="00072A82">
        <w:t xml:space="preserve"> which make Jason’s classmates sound rough and unfair.</w:t>
      </w:r>
    </w:p>
    <w:p w14:paraId="601813C3" w14:textId="77777777" w:rsidR="00E57DDE" w:rsidRDefault="00E57DDE" w:rsidP="00E57DDE">
      <w:pPr>
        <w:pStyle w:val="Q"/>
        <w:rPr>
          <w:rStyle w:val="CommentReference"/>
          <w:sz w:val="22"/>
          <w:szCs w:val="22"/>
        </w:rPr>
      </w:pPr>
      <w:r>
        <w:rPr>
          <w:rStyle w:val="CommentReference"/>
          <w:sz w:val="22"/>
          <w:szCs w:val="22"/>
        </w:rPr>
        <w:t xml:space="preserve">How do Mitchell’s specific word choices develop Jason’s tone on page 25? </w:t>
      </w:r>
    </w:p>
    <w:p w14:paraId="16BB02E6" w14:textId="77777777" w:rsidR="00E57DDE" w:rsidRDefault="00E57DDE" w:rsidP="001321F6">
      <w:pPr>
        <w:pStyle w:val="SR"/>
        <w:rPr>
          <w:rStyle w:val="CommentReference"/>
          <w:sz w:val="22"/>
          <w:szCs w:val="22"/>
        </w:rPr>
      </w:pPr>
      <w:r>
        <w:rPr>
          <w:rStyle w:val="CommentReference"/>
          <w:sz w:val="22"/>
          <w:szCs w:val="22"/>
        </w:rPr>
        <w:t xml:space="preserve">Student responses may include: </w:t>
      </w:r>
    </w:p>
    <w:p w14:paraId="1F6AE9FA" w14:textId="376C3523" w:rsidR="00E57DDE" w:rsidRDefault="00A66073" w:rsidP="001321F6">
      <w:pPr>
        <w:pStyle w:val="SASRBullet"/>
        <w:rPr>
          <w:rStyle w:val="CommentReference"/>
          <w:sz w:val="22"/>
          <w:szCs w:val="22"/>
        </w:rPr>
      </w:pPr>
      <w:r>
        <w:rPr>
          <w:rStyle w:val="CommentReference"/>
          <w:sz w:val="22"/>
          <w:szCs w:val="22"/>
        </w:rPr>
        <w:lastRenderedPageBreak/>
        <w:t>Mitchell’s word choices such as “</w:t>
      </w:r>
      <w:r w:rsidR="00D976C4">
        <w:rPr>
          <w:rStyle w:val="CommentReference"/>
          <w:sz w:val="22"/>
          <w:szCs w:val="22"/>
        </w:rPr>
        <w:t>B</w:t>
      </w:r>
      <w:r>
        <w:rPr>
          <w:rStyle w:val="CommentReference"/>
          <w:sz w:val="22"/>
          <w:szCs w:val="22"/>
        </w:rPr>
        <w:t>unsen-burnered” and “hobbity”</w:t>
      </w:r>
      <w:r w:rsidR="0000582A">
        <w:rPr>
          <w:rStyle w:val="CommentReference"/>
          <w:sz w:val="22"/>
          <w:szCs w:val="22"/>
        </w:rPr>
        <w:t xml:space="preserve"> (p. 25)</w:t>
      </w:r>
      <w:r>
        <w:rPr>
          <w:rStyle w:val="CommentReference"/>
          <w:sz w:val="22"/>
          <w:szCs w:val="22"/>
        </w:rPr>
        <w:t xml:space="preserve"> establish a humorous, creative tone as Jason plays with words and creates new ones. </w:t>
      </w:r>
    </w:p>
    <w:p w14:paraId="639EED0A" w14:textId="6992DF0A" w:rsidR="00A66073" w:rsidRPr="00E57DDE" w:rsidRDefault="00A66073" w:rsidP="001321F6">
      <w:pPr>
        <w:pStyle w:val="SASRBullet"/>
        <w:rPr>
          <w:rStyle w:val="CommentReference"/>
          <w:sz w:val="22"/>
          <w:szCs w:val="22"/>
        </w:rPr>
      </w:pPr>
      <w:r>
        <w:rPr>
          <w:rStyle w:val="CommentReference"/>
          <w:sz w:val="22"/>
          <w:szCs w:val="22"/>
        </w:rPr>
        <w:t>Mitchell’s use of contractions such as “Pluto Noak’d</w:t>
      </w:r>
      <w:r w:rsidR="003E1255">
        <w:rPr>
          <w:rStyle w:val="CommentReference"/>
          <w:sz w:val="22"/>
          <w:szCs w:val="22"/>
        </w:rPr>
        <w:t>,</w:t>
      </w:r>
      <w:r>
        <w:rPr>
          <w:rStyle w:val="CommentReference"/>
          <w:sz w:val="22"/>
          <w:szCs w:val="22"/>
        </w:rPr>
        <w:t>”</w:t>
      </w:r>
      <w:r w:rsidR="009D6F88">
        <w:rPr>
          <w:rStyle w:val="CommentReference"/>
          <w:sz w:val="22"/>
          <w:szCs w:val="22"/>
        </w:rPr>
        <w:t xml:space="preserve"> </w:t>
      </w:r>
      <w:r>
        <w:rPr>
          <w:rStyle w:val="CommentReference"/>
          <w:sz w:val="22"/>
          <w:szCs w:val="22"/>
        </w:rPr>
        <w:t>“I s’pose</w:t>
      </w:r>
      <w:r w:rsidR="009D6F88">
        <w:rPr>
          <w:rStyle w:val="CommentReference"/>
          <w:sz w:val="22"/>
          <w:szCs w:val="22"/>
        </w:rPr>
        <w:t>,</w:t>
      </w:r>
      <w:r>
        <w:rPr>
          <w:rStyle w:val="CommentReference"/>
          <w:sz w:val="22"/>
          <w:szCs w:val="22"/>
        </w:rPr>
        <w:t xml:space="preserve">” and “‘cept” </w:t>
      </w:r>
      <w:r w:rsidR="0000582A">
        <w:rPr>
          <w:rStyle w:val="CommentReference"/>
          <w:sz w:val="22"/>
          <w:szCs w:val="22"/>
        </w:rPr>
        <w:t xml:space="preserve">(p. 25) </w:t>
      </w:r>
      <w:r>
        <w:rPr>
          <w:rStyle w:val="CommentReference"/>
          <w:sz w:val="22"/>
          <w:szCs w:val="22"/>
        </w:rPr>
        <w:t xml:space="preserve">create a casual tone. </w:t>
      </w:r>
    </w:p>
    <w:p w14:paraId="62F894F0" w14:textId="77777777" w:rsidR="00206DAB" w:rsidRDefault="00206DAB" w:rsidP="00E57DDE">
      <w:pPr>
        <w:pStyle w:val="Q"/>
      </w:pPr>
      <w:r>
        <w:t>How does Jason’s waiting in the clinic develop his character?</w:t>
      </w:r>
    </w:p>
    <w:p w14:paraId="7576A223" w14:textId="77777777" w:rsidR="00206DAB" w:rsidRDefault="00F93466" w:rsidP="00AB5CBE">
      <w:pPr>
        <w:pStyle w:val="SR"/>
      </w:pPr>
      <w:r>
        <w:t xml:space="preserve">Jason’s waiting </w:t>
      </w:r>
      <w:r w:rsidR="00AB5CBE">
        <w:t xml:space="preserve">shows that </w:t>
      </w:r>
      <w:r>
        <w:t>he</w:t>
      </w:r>
      <w:r w:rsidR="00AB5CBE">
        <w:t xml:space="preserve"> needs help with something, even if, like the other people there, he does not look like he has “much wrong” (p.</w:t>
      </w:r>
      <w:r w:rsidR="00061DE0">
        <w:t xml:space="preserve"> </w:t>
      </w:r>
      <w:r w:rsidR="00AB5CBE">
        <w:t>25) with him.</w:t>
      </w:r>
    </w:p>
    <w:p w14:paraId="63370895" w14:textId="77777777" w:rsidR="00AF6FE7" w:rsidRDefault="00AF6FE7" w:rsidP="00047FE3">
      <w:pPr>
        <w:pStyle w:val="Q"/>
      </w:pPr>
      <w:r>
        <w:t>What tone does Jason’s description of the waiting room develop?</w:t>
      </w:r>
    </w:p>
    <w:p w14:paraId="51511D4F" w14:textId="77777777" w:rsidR="00D97314" w:rsidRDefault="00D97314" w:rsidP="00D97314">
      <w:pPr>
        <w:pStyle w:val="SR"/>
      </w:pPr>
      <w:r>
        <w:t>Student responses may include:</w:t>
      </w:r>
    </w:p>
    <w:p w14:paraId="2FDE5018" w14:textId="44EF7A96" w:rsidR="00D97314" w:rsidRDefault="00D93EA1" w:rsidP="00D97314">
      <w:pPr>
        <w:pStyle w:val="SASRBullet"/>
      </w:pPr>
      <w:r>
        <w:t>Jason’s description</w:t>
      </w:r>
      <w:r w:rsidR="00D97314">
        <w:t xml:space="preserve"> develops a humorous tone because he describes a woman waiting as having “coat hangers instead of bones” (p. 25)</w:t>
      </w:r>
      <w:r w:rsidR="00E57DDE">
        <w:t xml:space="preserve">, showing </w:t>
      </w:r>
      <w:r w:rsidR="009D6F88">
        <w:t xml:space="preserve">that </w:t>
      </w:r>
      <w:r w:rsidR="00E57DDE">
        <w:t xml:space="preserve">Jason is creative and witty with his descriptions. </w:t>
      </w:r>
    </w:p>
    <w:p w14:paraId="7EB36DE0" w14:textId="2757C9E0" w:rsidR="00E7559A" w:rsidRDefault="00BB60E4" w:rsidP="00D97314">
      <w:pPr>
        <w:pStyle w:val="SASRBullet"/>
      </w:pPr>
      <w:r>
        <w:t>At the same time,</w:t>
      </w:r>
      <w:r w:rsidR="00492A70">
        <w:t xml:space="preserve"> the description</w:t>
      </w:r>
      <w:r>
        <w:t xml:space="preserve"> </w:t>
      </w:r>
      <w:r w:rsidR="00E7559A">
        <w:t xml:space="preserve">develops a </w:t>
      </w:r>
      <w:r w:rsidR="00185F86">
        <w:t>sad, bitter</w:t>
      </w:r>
      <w:r w:rsidR="00206DAB">
        <w:t xml:space="preserve"> </w:t>
      </w:r>
      <w:r w:rsidR="00E7559A">
        <w:t>tone because Jason says no one wants to talk about why th</w:t>
      </w:r>
      <w:r w:rsidR="00206DAB">
        <w:t>ey are at the clinic</w:t>
      </w:r>
      <w:r w:rsidR="009D6F88">
        <w:t>.</w:t>
      </w:r>
      <w:r w:rsidR="00206DAB">
        <w:t xml:space="preserve"> Jason</w:t>
      </w:r>
      <w:r w:rsidR="00E7559A">
        <w:t xml:space="preserve"> envies “</w:t>
      </w:r>
      <w:r w:rsidR="00E7559A">
        <w:rPr>
          <w:i/>
        </w:rPr>
        <w:t>anyone</w:t>
      </w:r>
      <w:r w:rsidR="00E7559A">
        <w:t xml:space="preserve"> who can say what they want at the same time</w:t>
      </w:r>
      <w:r w:rsidR="0000582A">
        <w:t xml:space="preserve"> as</w:t>
      </w:r>
      <w:r w:rsidR="00E7559A">
        <w:t xml:space="preserve"> they think it” (p. 25).</w:t>
      </w:r>
    </w:p>
    <w:p w14:paraId="297182A1" w14:textId="02AD19F5" w:rsidR="00C45638" w:rsidRDefault="00C45638" w:rsidP="003E1255">
      <w:pPr>
        <w:pStyle w:val="TA"/>
      </w:pPr>
      <w:r>
        <w:t>Lead a brief whole-class discussion of student responses.</w:t>
      </w:r>
    </w:p>
    <w:p w14:paraId="448B1D51" w14:textId="77777777" w:rsidR="00AF6FE7" w:rsidRDefault="00AF6FE7" w:rsidP="00AF6FE7">
      <w:pPr>
        <w:pStyle w:val="BR"/>
      </w:pPr>
    </w:p>
    <w:p w14:paraId="27F0787B" w14:textId="54A18B57" w:rsidR="00CB64DA" w:rsidRDefault="00CB64DA" w:rsidP="00CB64DA">
      <w:pPr>
        <w:pStyle w:val="TA"/>
      </w:pPr>
      <w:r>
        <w:t xml:space="preserve">Instruct students to form pairs. Post or </w:t>
      </w:r>
      <w:r w:rsidR="007D36FF">
        <w:t>the</w:t>
      </w:r>
      <w:r>
        <w:t xml:space="preserve"> questions below for students to discuss.</w:t>
      </w:r>
    </w:p>
    <w:p w14:paraId="089C7C53" w14:textId="0A2C7088" w:rsidR="00302D12" w:rsidRDefault="00CB64DA" w:rsidP="00351BD4">
      <w:pPr>
        <w:pStyle w:val="TA"/>
      </w:pPr>
      <w:r>
        <w:t>Instruct students to read p</w:t>
      </w:r>
      <w:r w:rsidR="00C54475">
        <w:t>ages</w:t>
      </w:r>
      <w:r w:rsidR="00F60215">
        <w:t xml:space="preserve"> </w:t>
      </w:r>
      <w:r>
        <w:t>25</w:t>
      </w:r>
      <w:r w:rsidR="00C54475">
        <w:t>–</w:t>
      </w:r>
      <w:r>
        <w:t>26</w:t>
      </w:r>
      <w:r>
        <w:rPr>
          <w:i/>
        </w:rPr>
        <w:t xml:space="preserve"> </w:t>
      </w:r>
      <w:r w:rsidRPr="00551BB2">
        <w:t>(from “</w:t>
      </w:r>
      <w:r>
        <w:t>Most people think stammering and stuttering</w:t>
      </w:r>
      <w:r w:rsidR="0000582A">
        <w:t xml:space="preserve"> are the same</w:t>
      </w:r>
      <w:r w:rsidRPr="00551BB2">
        <w:t>” to “</w:t>
      </w:r>
      <w:r w:rsidR="0000582A">
        <w:t xml:space="preserve">the speech therapist at Malvern Link clinic. </w:t>
      </w:r>
      <w:r>
        <w:t>That was five years ago</w:t>
      </w:r>
      <w:r w:rsidRPr="00551BB2">
        <w:t>”)</w:t>
      </w:r>
      <w:r>
        <w:t xml:space="preserve"> and answer the following questions before sharing out with the class.</w:t>
      </w:r>
    </w:p>
    <w:p w14:paraId="765A322B" w14:textId="2B1C2339" w:rsidR="00302D12" w:rsidRPr="00D93EA1" w:rsidRDefault="00302D12" w:rsidP="00302D12">
      <w:pPr>
        <w:pStyle w:val="IN"/>
      </w:pPr>
      <w:r w:rsidRPr="00C5159A">
        <w:rPr>
          <w:b/>
        </w:rPr>
        <w:t xml:space="preserve">Differentiation Consideration: </w:t>
      </w:r>
      <w:r w:rsidRPr="00C5159A">
        <w:t xml:space="preserve">Consider providing students with the following definitions: </w:t>
      </w:r>
      <w:r w:rsidRPr="00D93EA1">
        <w:rPr>
          <w:i/>
        </w:rPr>
        <w:t xml:space="preserve">diarrhea </w:t>
      </w:r>
      <w:r w:rsidRPr="00D93EA1">
        <w:t xml:space="preserve">means “an illness that causes you to pass waste from your body very frequently and in a liquid rather than solid form” </w:t>
      </w:r>
      <w:r w:rsidR="00DD5988" w:rsidRPr="00D93EA1">
        <w:t xml:space="preserve">and </w:t>
      </w:r>
      <w:r w:rsidRPr="00D93EA1">
        <w:rPr>
          <w:i/>
        </w:rPr>
        <w:t xml:space="preserve">constipation </w:t>
      </w:r>
      <w:r w:rsidRPr="00D93EA1">
        <w:t>means “the condition of being unable to easily release solid waste from your body</w:t>
      </w:r>
      <w:r w:rsidR="003E1255">
        <w:t>.</w:t>
      </w:r>
      <w:r w:rsidRPr="00D93EA1">
        <w:t>”</w:t>
      </w:r>
    </w:p>
    <w:p w14:paraId="7D4392C6" w14:textId="593ACC37" w:rsidR="00302D12" w:rsidRPr="00302D12" w:rsidRDefault="00302D12" w:rsidP="00302D12">
      <w:pPr>
        <w:pStyle w:val="DCwithSA"/>
      </w:pPr>
      <w:r>
        <w:t xml:space="preserve">Students </w:t>
      </w:r>
      <w:r w:rsidR="00C45638">
        <w:t>write</w:t>
      </w:r>
      <w:r>
        <w:t xml:space="preserve"> the definitions of </w:t>
      </w:r>
      <w:r>
        <w:rPr>
          <w:i/>
        </w:rPr>
        <w:t xml:space="preserve">diarrhea </w:t>
      </w:r>
      <w:r>
        <w:t xml:space="preserve">and </w:t>
      </w:r>
      <w:r>
        <w:rPr>
          <w:i/>
        </w:rPr>
        <w:t>constipation</w:t>
      </w:r>
      <w:r>
        <w:t xml:space="preserve"> </w:t>
      </w:r>
      <w:r w:rsidR="00320094">
        <w:t>on their copies</w:t>
      </w:r>
      <w:r w:rsidR="00257B95">
        <w:t xml:space="preserve"> of the text or in </w:t>
      </w:r>
      <w:r w:rsidR="00C45638">
        <w:t>a</w:t>
      </w:r>
      <w:r w:rsidR="00257B95">
        <w:t xml:space="preserve"> vocabulary journal. </w:t>
      </w:r>
    </w:p>
    <w:p w14:paraId="2462A700" w14:textId="6216DE80" w:rsidR="005F42B4" w:rsidRDefault="00F60215" w:rsidP="00AF6FE7">
      <w:pPr>
        <w:pStyle w:val="Q"/>
      </w:pPr>
      <w:r>
        <w:t xml:space="preserve">Toward </w:t>
      </w:r>
      <w:r w:rsidR="005F42B4">
        <w:t>who</w:t>
      </w:r>
      <w:r w:rsidR="00E57DDE">
        <w:t>m</w:t>
      </w:r>
      <w:r w:rsidR="005F42B4">
        <w:t xml:space="preserve"> or what </w:t>
      </w:r>
      <w:r>
        <w:t>does Jason direct his humor</w:t>
      </w:r>
      <w:r w:rsidR="005F42B4">
        <w:t>?</w:t>
      </w:r>
    </w:p>
    <w:p w14:paraId="77AD6238" w14:textId="7CA5A2E8" w:rsidR="005F42B4" w:rsidRDefault="00F60215" w:rsidP="00185F86">
      <w:pPr>
        <w:pStyle w:val="SR"/>
      </w:pPr>
      <w:r>
        <w:t>Jason directs his humor</w:t>
      </w:r>
      <w:r w:rsidR="00E505FA">
        <w:t xml:space="preserve"> at himself</w:t>
      </w:r>
      <w:r w:rsidR="003E1255">
        <w:t>. M</w:t>
      </w:r>
      <w:r w:rsidR="00E505FA">
        <w:t>ost of the humorous word choices like “</w:t>
      </w:r>
      <w:r w:rsidR="006C4785" w:rsidRPr="00300E63">
        <w:rPr>
          <w:i/>
        </w:rPr>
        <w:t>duh</w:t>
      </w:r>
      <w:r w:rsidR="00E505FA">
        <w:t>-brain” (p.</w:t>
      </w:r>
      <w:r w:rsidR="0000582A">
        <w:t xml:space="preserve"> </w:t>
      </w:r>
      <w:r w:rsidR="00E505FA">
        <w:t xml:space="preserve">26), or the comparison of </w:t>
      </w:r>
      <w:r w:rsidR="00E57DDE">
        <w:t>hi</w:t>
      </w:r>
      <w:r w:rsidR="005212FA">
        <w:t>s expression while</w:t>
      </w:r>
      <w:r w:rsidR="00E505FA">
        <w:t xml:space="preserve"> stammering with that of </w:t>
      </w:r>
      <w:r w:rsidR="005212FA">
        <w:t xml:space="preserve">“an evenly matched arm wrestler” (p. 26) </w:t>
      </w:r>
      <w:r w:rsidR="00185F86">
        <w:t>are</w:t>
      </w:r>
      <w:r w:rsidR="005212FA">
        <w:t xml:space="preserve"> used to describe how he appears or feels while stammering.</w:t>
      </w:r>
    </w:p>
    <w:p w14:paraId="519DF986" w14:textId="77777777" w:rsidR="00206DAB" w:rsidRDefault="00206DAB" w:rsidP="00AF6FE7">
      <w:pPr>
        <w:pStyle w:val="Q"/>
      </w:pPr>
      <w:r>
        <w:lastRenderedPageBreak/>
        <w:t xml:space="preserve">When does Jason’s stammer </w:t>
      </w:r>
      <w:r w:rsidR="009842B6">
        <w:t xml:space="preserve">first </w:t>
      </w:r>
      <w:r>
        <w:t>develop?</w:t>
      </w:r>
    </w:p>
    <w:p w14:paraId="347A7B32" w14:textId="15B3BE2E" w:rsidR="00F7269E" w:rsidRDefault="00F7269E" w:rsidP="00F7269E">
      <w:pPr>
        <w:pStyle w:val="SR"/>
      </w:pPr>
      <w:r>
        <w:t xml:space="preserve">Student </w:t>
      </w:r>
      <w:r w:rsidR="003E1255">
        <w:t>responses</w:t>
      </w:r>
      <w:r>
        <w:t xml:space="preserve"> should include:</w:t>
      </w:r>
    </w:p>
    <w:p w14:paraId="59D50E1F" w14:textId="77777777" w:rsidR="00F7269E" w:rsidRDefault="00F7269E" w:rsidP="00F7269E">
      <w:pPr>
        <w:pStyle w:val="SASRBullet"/>
      </w:pPr>
      <w:r>
        <w:t>Jason’s stammer develops during a summer when “it never rained and</w:t>
      </w:r>
      <w:r w:rsidR="0000582A">
        <w:t xml:space="preserve"> the</w:t>
      </w:r>
      <w:r>
        <w:t xml:space="preserve"> Malvern Hills turned brown and fires broke out” (p.</w:t>
      </w:r>
      <w:r w:rsidR="00061DE0">
        <w:t xml:space="preserve"> </w:t>
      </w:r>
      <w:r>
        <w:t>26)</w:t>
      </w:r>
      <w:r w:rsidR="0000582A">
        <w:t>.</w:t>
      </w:r>
    </w:p>
    <w:p w14:paraId="5D8B96BF" w14:textId="77777777" w:rsidR="00F7269E" w:rsidRDefault="00F7269E" w:rsidP="00F7269E">
      <w:pPr>
        <w:pStyle w:val="SASRBullet"/>
      </w:pPr>
      <w:r>
        <w:t>Jason’s stammer develops during a game of hangman in school (p.</w:t>
      </w:r>
      <w:r w:rsidR="00061DE0">
        <w:t xml:space="preserve"> </w:t>
      </w:r>
      <w:r>
        <w:t>26).</w:t>
      </w:r>
    </w:p>
    <w:p w14:paraId="4F231545" w14:textId="77777777" w:rsidR="009D3D81" w:rsidRDefault="009D3D81" w:rsidP="00F7269E">
      <w:pPr>
        <w:pStyle w:val="SASRBullet"/>
      </w:pPr>
      <w:r>
        <w:t>Jason says that the game of hangman was “five years ago,” meaning that he has been struggling with his stammer for five years (p.</w:t>
      </w:r>
      <w:r w:rsidR="00061DE0">
        <w:t xml:space="preserve"> </w:t>
      </w:r>
      <w:r>
        <w:t xml:space="preserve">26). </w:t>
      </w:r>
    </w:p>
    <w:p w14:paraId="0FF3E9E3" w14:textId="77777777" w:rsidR="00A07129" w:rsidRDefault="00A07129" w:rsidP="009D3D81">
      <w:pPr>
        <w:pStyle w:val="Q"/>
      </w:pPr>
      <w:r>
        <w:t xml:space="preserve">How do Mitchell’s specific word choices </w:t>
      </w:r>
      <w:r w:rsidR="009D3D81">
        <w:t>demonstrate</w:t>
      </w:r>
      <w:r>
        <w:t xml:space="preserve"> how Jason feels about his stammer?</w:t>
      </w:r>
    </w:p>
    <w:p w14:paraId="1B605992" w14:textId="77777777" w:rsidR="001A5D6B" w:rsidRDefault="001A5D6B" w:rsidP="009D3D81">
      <w:pPr>
        <w:pStyle w:val="SR"/>
      </w:pPr>
      <w:r>
        <w:t xml:space="preserve">Student responses may include: </w:t>
      </w:r>
    </w:p>
    <w:p w14:paraId="5A59010A" w14:textId="5BFCC885" w:rsidR="001A5D6B" w:rsidRDefault="00185F86" w:rsidP="001321F6">
      <w:pPr>
        <w:pStyle w:val="SASRBullet"/>
      </w:pPr>
      <w:r>
        <w:t>Mitchell’s</w:t>
      </w:r>
      <w:r w:rsidR="00A07129">
        <w:t xml:space="preserve"> specific word choices like “</w:t>
      </w:r>
      <w:r w:rsidR="009D3D81">
        <w:t xml:space="preserve">shocked, scared, breathless, </w:t>
      </w:r>
      <w:r w:rsidR="00A07129">
        <w:t xml:space="preserve">ashamed” (p. 26) show that Jason feels embarrassed </w:t>
      </w:r>
      <w:r w:rsidR="009D3D81">
        <w:t>about</w:t>
      </w:r>
      <w:r w:rsidR="00A07129">
        <w:t xml:space="preserve"> his stammer</w:t>
      </w:r>
      <w:r w:rsidR="009D3D81">
        <w:t xml:space="preserve">, and is afraid of it. The phrase “I </w:t>
      </w:r>
      <w:r w:rsidR="009D3D81">
        <w:rPr>
          <w:i/>
        </w:rPr>
        <w:t>hated</w:t>
      </w:r>
      <w:r w:rsidR="009D3D81">
        <w:t xml:space="preserve"> myself” reinforces Jason’s shame and anger towards himself (p</w:t>
      </w:r>
      <w:r w:rsidR="003E1255">
        <w:t>.</w:t>
      </w:r>
      <w:r w:rsidR="009D3D81">
        <w:t xml:space="preserve"> 26). </w:t>
      </w:r>
    </w:p>
    <w:p w14:paraId="2389D605" w14:textId="7C5CD369" w:rsidR="001A5D6B" w:rsidRDefault="001A5D6B" w:rsidP="001321F6">
      <w:pPr>
        <w:pStyle w:val="SASRBullet"/>
      </w:pPr>
      <w:r>
        <w:t>Jason says that his “life divided itself into Before Hangman and After Hangman”</w:t>
      </w:r>
      <w:r w:rsidR="002A45D0">
        <w:t xml:space="preserve"> (p.</w:t>
      </w:r>
      <w:r w:rsidR="00061DE0">
        <w:t xml:space="preserve"> </w:t>
      </w:r>
      <w:r w:rsidR="002A45D0">
        <w:t>26)</w:t>
      </w:r>
      <w:r w:rsidR="00D93EA1">
        <w:t>,</w:t>
      </w:r>
      <w:r>
        <w:t xml:space="preserve"> which shows what </w:t>
      </w:r>
      <w:r w:rsidR="0068331D">
        <w:t>a powerful moment this game of h</w:t>
      </w:r>
      <w:r>
        <w:t xml:space="preserve">angman was in his life. </w:t>
      </w:r>
    </w:p>
    <w:p w14:paraId="79E43B2E" w14:textId="77777777" w:rsidR="00A07129" w:rsidRDefault="001A5D6B" w:rsidP="001321F6">
      <w:pPr>
        <w:pStyle w:val="SASRBullet"/>
      </w:pPr>
      <w:r>
        <w:t>The repetition of the word “waiting” on page 26 shows how time stands still for Jason when he is struggling with his stammer</w:t>
      </w:r>
      <w:r w:rsidR="00061DE0">
        <w:t>.</w:t>
      </w:r>
    </w:p>
    <w:p w14:paraId="43BF4AD9" w14:textId="77777777" w:rsidR="00F665AD" w:rsidRDefault="00F665AD" w:rsidP="009D3D81">
      <w:pPr>
        <w:pStyle w:val="Q"/>
      </w:pPr>
      <w:r>
        <w:t>What tone does Mitchel</w:t>
      </w:r>
      <w:r w:rsidR="00061DE0">
        <w:t>l</w:t>
      </w:r>
      <w:r>
        <w:t xml:space="preserve"> establish through Jason’s description of his stammer? Cite evidence from the text to support your answer.</w:t>
      </w:r>
    </w:p>
    <w:p w14:paraId="1CA7397B" w14:textId="77777777" w:rsidR="009D3D81" w:rsidRDefault="009D3D81" w:rsidP="009D3D81">
      <w:pPr>
        <w:pStyle w:val="SR"/>
      </w:pPr>
      <w:r>
        <w:t>Student responses may include:</w:t>
      </w:r>
    </w:p>
    <w:p w14:paraId="1EC81BEC" w14:textId="167A83DE" w:rsidR="00F60215" w:rsidRDefault="00A07129" w:rsidP="001321F6">
      <w:pPr>
        <w:pStyle w:val="SASRBullet"/>
      </w:pPr>
      <w:r>
        <w:t>Jason compare</w:t>
      </w:r>
      <w:r w:rsidR="00F60215">
        <w:t>s</w:t>
      </w:r>
      <w:r>
        <w:t xml:space="preserve"> the difference between a </w:t>
      </w:r>
      <w:r w:rsidR="00351BD4">
        <w:t xml:space="preserve">stutter </w:t>
      </w:r>
      <w:r>
        <w:t xml:space="preserve">and a </w:t>
      </w:r>
      <w:r w:rsidR="00351BD4">
        <w:t xml:space="preserve">stammer </w:t>
      </w:r>
      <w:r>
        <w:t>to the difference between “diarrhea and constipation” (p.</w:t>
      </w:r>
      <w:r w:rsidR="00061DE0">
        <w:t xml:space="preserve"> </w:t>
      </w:r>
      <w:r>
        <w:t>25)</w:t>
      </w:r>
      <w:r w:rsidR="00351BD4">
        <w:t>, because someone who stutters can</w:t>
      </w:r>
      <w:r w:rsidR="008926F0">
        <w:t>no</w:t>
      </w:r>
      <w:r w:rsidR="00351BD4">
        <w:t>t stop saying the first part of a word, while someone who stammers can only say the first part of the word before getting stuck</w:t>
      </w:r>
      <w:r w:rsidR="00E505FA">
        <w:t xml:space="preserve">. </w:t>
      </w:r>
    </w:p>
    <w:p w14:paraId="5654E492" w14:textId="7521A201" w:rsidR="009D3D81" w:rsidRDefault="00F60215" w:rsidP="001321F6">
      <w:pPr>
        <w:pStyle w:val="SASRBullet"/>
      </w:pPr>
      <w:r>
        <w:t>Jason</w:t>
      </w:r>
      <w:r w:rsidR="00E505FA">
        <w:t xml:space="preserve"> uses the made-up word “guppergupperguppers” (p.</w:t>
      </w:r>
      <w:r w:rsidR="00061DE0">
        <w:t xml:space="preserve"> </w:t>
      </w:r>
      <w:r w:rsidR="00E505FA">
        <w:t>2</w:t>
      </w:r>
      <w:r w:rsidR="00DD5988">
        <w:t>6</w:t>
      </w:r>
      <w:r w:rsidR="00E505FA">
        <w:t xml:space="preserve">) to describe the fish-like look on </w:t>
      </w:r>
      <w:r w:rsidR="008926F0">
        <w:t xml:space="preserve">his </w:t>
      </w:r>
      <w:r w:rsidR="00E505FA">
        <w:t>face when he begins to stammer. These word choices create a humorous tone</w:t>
      </w:r>
      <w:r>
        <w:t>.</w:t>
      </w:r>
    </w:p>
    <w:p w14:paraId="11D19A6C" w14:textId="530C9437" w:rsidR="00F665AD" w:rsidRDefault="009D3D81" w:rsidP="001321F6">
      <w:pPr>
        <w:pStyle w:val="SASRBullet"/>
      </w:pPr>
      <w:r>
        <w:t>At the same time, words like “</w:t>
      </w:r>
      <w:r w:rsidR="006C4785" w:rsidRPr="00300E63">
        <w:rPr>
          <w:i/>
        </w:rPr>
        <w:t>duh</w:t>
      </w:r>
      <w:r w:rsidR="0068331D">
        <w:t>-brain” and “flid</w:t>
      </w:r>
      <w:r>
        <w:t>”</w:t>
      </w:r>
      <w:r w:rsidR="00DD5988">
        <w:t xml:space="preserve"> (p. 26)</w:t>
      </w:r>
      <w:r w:rsidR="008926F0">
        <w:t>,</w:t>
      </w:r>
      <w:r>
        <w:t xml:space="preserve"> which Jason uses </w:t>
      </w:r>
      <w:r w:rsidR="00F60215">
        <w:t xml:space="preserve">to describe </w:t>
      </w:r>
      <w:r>
        <w:t>himself</w:t>
      </w:r>
      <w:r w:rsidR="008926F0">
        <w:t>,</w:t>
      </w:r>
      <w:r w:rsidR="001A5D6B">
        <w:t xml:space="preserve"> show how bitter and angry he is with himself about his </w:t>
      </w:r>
      <w:r w:rsidR="00300E63">
        <w:t>stammer</w:t>
      </w:r>
      <w:r w:rsidR="001A5D6B">
        <w:t xml:space="preserve">. </w:t>
      </w:r>
    </w:p>
    <w:p w14:paraId="311DCB7F" w14:textId="77777777" w:rsidR="00790BCC" w:rsidRPr="00790BCC" w:rsidRDefault="00BE5C13" w:rsidP="007017EB">
      <w:pPr>
        <w:pStyle w:val="TA"/>
      </w:pPr>
      <w:r>
        <w:t>Lead a brief whole-class discussion of student responses.</w:t>
      </w:r>
    </w:p>
    <w:p w14:paraId="5F148BB2" w14:textId="77777777" w:rsidR="00790BCC" w:rsidRPr="00790BCC" w:rsidRDefault="002B65E1" w:rsidP="007017EB">
      <w:pPr>
        <w:pStyle w:val="LearningSequenceHeader"/>
      </w:pPr>
      <w:r>
        <w:t xml:space="preserve">Activity </w:t>
      </w:r>
      <w:r w:rsidR="007939D8">
        <w:t>5</w:t>
      </w:r>
      <w:r w:rsidR="00BE5C13">
        <w:t>: Quick Write</w:t>
      </w:r>
      <w:r w:rsidR="00BE5C13">
        <w:tab/>
        <w:t>15</w:t>
      </w:r>
      <w:r w:rsidR="00790BCC" w:rsidRPr="00790BCC">
        <w:t>%</w:t>
      </w:r>
    </w:p>
    <w:p w14:paraId="32400D39" w14:textId="0E2ABA11" w:rsidR="00BE5C13" w:rsidRPr="0005479C" w:rsidRDefault="00BE5C13" w:rsidP="0068331D">
      <w:pPr>
        <w:pStyle w:val="TA"/>
        <w:rPr>
          <w:b/>
        </w:rPr>
      </w:pPr>
      <w:r w:rsidRPr="00B029AA">
        <w:t xml:space="preserve">Instruct students to </w:t>
      </w:r>
      <w:r w:rsidR="00C45638" w:rsidRPr="00B029AA">
        <w:t xml:space="preserve">respond </w:t>
      </w:r>
      <w:r w:rsidRPr="00B029AA">
        <w:t>briefly in writing to the following prompt:</w:t>
      </w:r>
    </w:p>
    <w:p w14:paraId="5E480A37" w14:textId="77777777" w:rsidR="0056255E" w:rsidRDefault="0056255E" w:rsidP="0056255E">
      <w:pPr>
        <w:pStyle w:val="Q"/>
      </w:pPr>
      <w:r>
        <w:lastRenderedPageBreak/>
        <w:t>What is the cumulative impact of Mitchell’s specific word choices on meaning and tone in this excerpt?</w:t>
      </w:r>
    </w:p>
    <w:p w14:paraId="0CBCB6E7" w14:textId="285DA439" w:rsidR="00BE5C13" w:rsidRDefault="00BE5C13" w:rsidP="00BE5C13">
      <w:pPr>
        <w:pStyle w:val="TA"/>
      </w:pPr>
      <w:r>
        <w:t xml:space="preserve">Ask students to use this lesson’s vocabulary wherever possible in their written responses. Remind students to look at their text and notes to find evidence, and to use the Short Response </w:t>
      </w:r>
      <w:r w:rsidR="0068331D">
        <w:t xml:space="preserve">Rubric and </w:t>
      </w:r>
      <w:r>
        <w:t xml:space="preserve">Checklist to guide their written responses. </w:t>
      </w:r>
    </w:p>
    <w:p w14:paraId="3EC16401" w14:textId="77777777" w:rsidR="00BE5C13" w:rsidRDefault="00BE5C13" w:rsidP="00BE5C13">
      <w:pPr>
        <w:pStyle w:val="SA"/>
        <w:numPr>
          <w:ilvl w:val="0"/>
          <w:numId w:val="8"/>
        </w:numPr>
      </w:pPr>
      <w:r>
        <w:t>Students listen and read the Quick Write prompt.</w:t>
      </w:r>
    </w:p>
    <w:p w14:paraId="1C265B06" w14:textId="77777777" w:rsidR="00BE5C13" w:rsidRDefault="00BE5C13" w:rsidP="00BE5C13">
      <w:pPr>
        <w:pStyle w:val="IN"/>
      </w:pPr>
      <w:r>
        <w:t>Display the</w:t>
      </w:r>
      <w:r w:rsidRPr="002C38DB">
        <w:t xml:space="preserve"> prompt for students to see</w:t>
      </w:r>
      <w:r>
        <w:t>, or provide the prompt in</w:t>
      </w:r>
      <w:r w:rsidRPr="002C38DB">
        <w:t xml:space="preserve"> hard copy</w:t>
      </w:r>
      <w:r>
        <w:t>.</w:t>
      </w:r>
    </w:p>
    <w:p w14:paraId="067EB4CC" w14:textId="1830DC98" w:rsidR="00BE5C13" w:rsidRPr="00A73483" w:rsidRDefault="00BE5C13" w:rsidP="00BE5C13">
      <w:pPr>
        <w:pStyle w:val="TA"/>
      </w:pPr>
      <w:r>
        <w:t>Transition to the independent Quick Write.</w:t>
      </w:r>
      <w:r w:rsidRPr="000149E8">
        <w:t xml:space="preserve"> </w:t>
      </w:r>
    </w:p>
    <w:p w14:paraId="45EAB1C1" w14:textId="258B7276" w:rsidR="00BE5C13" w:rsidRDefault="00BE5C13" w:rsidP="00BE5C13">
      <w:pPr>
        <w:pStyle w:val="SA"/>
        <w:numPr>
          <w:ilvl w:val="0"/>
          <w:numId w:val="8"/>
        </w:numPr>
      </w:pPr>
      <w:r>
        <w:t xml:space="preserve">Students independently answer the prompt using evidence from the text. </w:t>
      </w:r>
    </w:p>
    <w:p w14:paraId="57B20311" w14:textId="77777777" w:rsidR="00790BCC" w:rsidRPr="00790BCC" w:rsidRDefault="00BE5C13" w:rsidP="007017EB">
      <w:pPr>
        <w:pStyle w:val="SR"/>
      </w:pPr>
      <w:r>
        <w:t>See the High Performance Response at the beginning of this lesson.</w:t>
      </w:r>
    </w:p>
    <w:p w14:paraId="632C87BA" w14:textId="77777777" w:rsidR="00790BCC" w:rsidRPr="00790BCC" w:rsidRDefault="00790BCC" w:rsidP="007017EB">
      <w:pPr>
        <w:pStyle w:val="LearningSequenceHeader"/>
      </w:pPr>
      <w:r w:rsidRPr="00790BCC">
        <w:t xml:space="preserve">Activity </w:t>
      </w:r>
      <w:r w:rsidR="007939D8">
        <w:t>6</w:t>
      </w:r>
      <w:r w:rsidRPr="00790BCC">
        <w:t>: Closing</w:t>
      </w:r>
      <w:r w:rsidRPr="00790BCC">
        <w:tab/>
        <w:t>5%</w:t>
      </w:r>
    </w:p>
    <w:p w14:paraId="3E5FE1A2" w14:textId="71B2D807" w:rsidR="002B5921" w:rsidRDefault="002B5921" w:rsidP="0068331D">
      <w:pPr>
        <w:pStyle w:val="TA"/>
        <w:rPr>
          <w:rFonts w:cs="Calibri"/>
          <w:color w:val="000000"/>
        </w:rPr>
      </w:pPr>
      <w:r>
        <w:t xml:space="preserve">Display and distribute the homework assignment. For homework, </w:t>
      </w:r>
      <w:r w:rsidR="001321F6">
        <w:t xml:space="preserve">instruct </w:t>
      </w:r>
      <w:r>
        <w:t xml:space="preserve">students </w:t>
      </w:r>
      <w:r w:rsidR="001321F6">
        <w:rPr>
          <w:rFonts w:cs="Calibri"/>
          <w:color w:val="000000"/>
        </w:rPr>
        <w:t xml:space="preserve">to </w:t>
      </w:r>
      <w:r w:rsidRPr="00E51822">
        <w:rPr>
          <w:rFonts w:cs="Calibri"/>
          <w:color w:val="000000"/>
        </w:rPr>
        <w:t>write a paragraph in response to this prompt:</w:t>
      </w:r>
    </w:p>
    <w:p w14:paraId="7F5FCF60" w14:textId="77777777" w:rsidR="002B5921" w:rsidRDefault="002B5921" w:rsidP="001321F6">
      <w:pPr>
        <w:pStyle w:val="Q"/>
      </w:pPr>
      <w:r>
        <w:t xml:space="preserve">How does </w:t>
      </w:r>
      <w:r w:rsidR="00182885">
        <w:t xml:space="preserve">Jason’s </w:t>
      </w:r>
      <w:r>
        <w:t xml:space="preserve">tone in this passage develop </w:t>
      </w:r>
      <w:r w:rsidR="00182885">
        <w:t>hi</w:t>
      </w:r>
      <w:r>
        <w:t xml:space="preserve">s character? </w:t>
      </w:r>
    </w:p>
    <w:p w14:paraId="19A399AD" w14:textId="5315EB72" w:rsidR="00694BF6" w:rsidRPr="001321F6" w:rsidRDefault="002B5921">
      <w:pPr>
        <w:pStyle w:val="TA"/>
        <w:rPr>
          <w:rFonts w:asciiTheme="minorHAnsi" w:hAnsiTheme="minorHAnsi"/>
        </w:rPr>
      </w:pPr>
      <w:r>
        <w:t>Ask students to use this lesson’s vocab</w:t>
      </w:r>
      <w:r w:rsidR="001321F6">
        <w:t>ulary</w:t>
      </w:r>
      <w:r>
        <w:t xml:space="preserve"> where</w:t>
      </w:r>
      <w:r w:rsidR="00C45638">
        <w:t>ver</w:t>
      </w:r>
      <w:r>
        <w:t xml:space="preserve"> possible in their written responses.</w:t>
      </w:r>
      <w:r w:rsidR="005D3EF0">
        <w:t xml:space="preserve"> </w:t>
      </w:r>
      <w:r w:rsidR="005D3EF0" w:rsidRPr="001321F6">
        <w:rPr>
          <w:rFonts w:asciiTheme="minorHAnsi" w:hAnsiTheme="minorHAnsi"/>
        </w:rPr>
        <w:t>Also remind students to use the Short Response</w:t>
      </w:r>
      <w:r w:rsidR="0068331D">
        <w:rPr>
          <w:rFonts w:asciiTheme="minorHAnsi" w:hAnsiTheme="minorHAnsi"/>
        </w:rPr>
        <w:t xml:space="preserve"> Rubric and</w:t>
      </w:r>
      <w:r w:rsidR="005D3EF0" w:rsidRPr="001321F6">
        <w:rPr>
          <w:rFonts w:asciiTheme="minorHAnsi" w:hAnsiTheme="minorHAnsi"/>
        </w:rPr>
        <w:t xml:space="preserve"> Checklist to guide their written responses. </w:t>
      </w:r>
    </w:p>
    <w:p w14:paraId="344B48CE" w14:textId="7DDD063D" w:rsidR="00790BCC" w:rsidRPr="00790BCC" w:rsidRDefault="00694BF6" w:rsidP="007017EB">
      <w:pPr>
        <w:pStyle w:val="TA"/>
      </w:pPr>
      <w:r>
        <w:t>Also for homework, s</w:t>
      </w:r>
      <w:r w:rsidR="0056255E">
        <w:t xml:space="preserve">tudents </w:t>
      </w:r>
      <w:r>
        <w:t>should</w:t>
      </w:r>
      <w:r w:rsidR="004612E7">
        <w:t xml:space="preserve"> </w:t>
      </w:r>
      <w:r w:rsidR="0056255E">
        <w:t xml:space="preserve">continue to read their </w:t>
      </w:r>
      <w:r w:rsidR="008926F0">
        <w:t>AIR</w:t>
      </w:r>
      <w:r w:rsidR="0056255E">
        <w:t xml:space="preserve"> </w:t>
      </w:r>
      <w:r w:rsidR="00F60215">
        <w:t xml:space="preserve">texts </w:t>
      </w:r>
      <w:r w:rsidR="0056255E">
        <w:t xml:space="preserve">through the lens of focus standard </w:t>
      </w:r>
      <w:r w:rsidR="00300E63">
        <w:t>RL.9-10.3 or RI.9-10.3</w:t>
      </w:r>
      <w:r w:rsidR="0056255E">
        <w:t xml:space="preserve"> and prepare for a </w:t>
      </w:r>
      <w:r w:rsidR="0068331D">
        <w:t xml:space="preserve">3–5 </w:t>
      </w:r>
      <w:r w:rsidR="0056255E" w:rsidRPr="005E1855">
        <w:t>minute discussion of their text based on that standard</w:t>
      </w:r>
      <w:r w:rsidR="0056255E">
        <w:t>.</w:t>
      </w:r>
    </w:p>
    <w:p w14:paraId="4734E133" w14:textId="77777777" w:rsidR="00790BCC" w:rsidRPr="00790BCC" w:rsidRDefault="00790BCC" w:rsidP="007017EB">
      <w:pPr>
        <w:pStyle w:val="Heading1"/>
      </w:pPr>
      <w:r w:rsidRPr="00790BCC">
        <w:t>Homework</w:t>
      </w:r>
    </w:p>
    <w:p w14:paraId="52B03D9D" w14:textId="5C568720" w:rsidR="002B5921" w:rsidRDefault="001321F6" w:rsidP="007939D8">
      <w:r>
        <w:t>Write</w:t>
      </w:r>
      <w:r w:rsidR="002B5921" w:rsidRPr="00E51822">
        <w:t xml:space="preserve"> a paragraph in response to this prompt:</w:t>
      </w:r>
      <w:r w:rsidR="002B5921">
        <w:t xml:space="preserve"> </w:t>
      </w:r>
    </w:p>
    <w:p w14:paraId="4E3892F1" w14:textId="77777777" w:rsidR="002B5921" w:rsidRPr="007939D8" w:rsidRDefault="002B5921" w:rsidP="007939D8">
      <w:pPr>
        <w:pStyle w:val="Q"/>
      </w:pPr>
      <w:r w:rsidRPr="007939D8">
        <w:t xml:space="preserve">How does the tone in this passage develop Jason’s character? </w:t>
      </w:r>
    </w:p>
    <w:p w14:paraId="6B69F865" w14:textId="6F647226" w:rsidR="001321F6" w:rsidRPr="001321F6" w:rsidRDefault="001321F6" w:rsidP="007939D8">
      <w:r>
        <w:t>Use this lesson’s vocabulary where</w:t>
      </w:r>
      <w:r w:rsidR="002A762D">
        <w:t>ver</w:t>
      </w:r>
      <w:r>
        <w:t xml:space="preserve"> possible in your written responses. Use </w:t>
      </w:r>
      <w:r w:rsidRPr="001321F6">
        <w:t xml:space="preserve">the Short Response </w:t>
      </w:r>
      <w:r w:rsidR="0068331D">
        <w:t xml:space="preserve">Rubric and </w:t>
      </w:r>
      <w:r w:rsidRPr="001321F6">
        <w:t xml:space="preserve">Checklist to guide </w:t>
      </w:r>
      <w:r>
        <w:t>you</w:t>
      </w:r>
      <w:r w:rsidRPr="001321F6">
        <w:t xml:space="preserve">r written responses. </w:t>
      </w:r>
    </w:p>
    <w:p w14:paraId="5B6B3A85" w14:textId="603D6DA6" w:rsidR="007E484F" w:rsidRDefault="0056255E" w:rsidP="007939D8">
      <w:r>
        <w:t xml:space="preserve">Continue to read </w:t>
      </w:r>
      <w:r w:rsidR="00E57DDE">
        <w:t xml:space="preserve">your </w:t>
      </w:r>
      <w:r w:rsidRPr="00E44A65">
        <w:t>Account</w:t>
      </w:r>
      <w:r>
        <w:t>able Independent Reading</w:t>
      </w:r>
      <w:r w:rsidR="003E1255">
        <w:t xml:space="preserve"> </w:t>
      </w:r>
      <w:r>
        <w:t xml:space="preserve">text through the lens of focus standard </w:t>
      </w:r>
      <w:r w:rsidR="00300E63">
        <w:t>RL.9-10.3 and RI.9-10.3</w:t>
      </w:r>
      <w:r>
        <w:t xml:space="preserve"> and prepare for a </w:t>
      </w:r>
      <w:r w:rsidR="0068331D">
        <w:t xml:space="preserve">3–5 </w:t>
      </w:r>
      <w:r w:rsidR="003E1255">
        <w:t>minute</w:t>
      </w:r>
      <w:r w:rsidRPr="005E1855">
        <w:t xml:space="preserve"> discussion of </w:t>
      </w:r>
      <w:r w:rsidR="00E57DDE">
        <w:t>your</w:t>
      </w:r>
      <w:r w:rsidRPr="005E1855">
        <w:t xml:space="preserve"> text based on that standard</w:t>
      </w:r>
      <w:r>
        <w:t xml:space="preserve">. </w:t>
      </w:r>
    </w:p>
    <w:sectPr w:rsidR="007E484F" w:rsidSect="00A848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C5454" w14:textId="77777777" w:rsidR="00BD47C5" w:rsidRDefault="00BD47C5">
      <w:pPr>
        <w:spacing w:before="0" w:after="0" w:line="240" w:lineRule="auto"/>
      </w:pPr>
      <w:r>
        <w:separator/>
      </w:r>
    </w:p>
  </w:endnote>
  <w:endnote w:type="continuationSeparator" w:id="0">
    <w:p w14:paraId="43EDD040" w14:textId="77777777" w:rsidR="00BD47C5" w:rsidRDefault="00BD47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0A88" w14:textId="77777777" w:rsidR="00D976C4" w:rsidRDefault="00D976C4" w:rsidP="00A848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3F7ACB1" w14:textId="77777777" w:rsidR="00D976C4" w:rsidRDefault="00D976C4" w:rsidP="00A8487C">
    <w:pPr>
      <w:pStyle w:val="Footer"/>
    </w:pPr>
  </w:p>
  <w:p w14:paraId="5FA8DF5C" w14:textId="77777777" w:rsidR="00D976C4" w:rsidRDefault="00D976C4" w:rsidP="00A8487C"/>
  <w:p w14:paraId="6C8DBD30" w14:textId="77777777" w:rsidR="00D976C4" w:rsidRDefault="00D976C4" w:rsidP="00A848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2106" w14:textId="77777777" w:rsidR="00D976C4" w:rsidRPr="00563CB8" w:rsidRDefault="00D976C4"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D976C4" w14:paraId="57221EC1" w14:textId="77777777" w:rsidTr="001B31FF">
      <w:trPr>
        <w:trHeight w:val="705"/>
      </w:trPr>
      <w:tc>
        <w:tcPr>
          <w:tcW w:w="4680" w:type="dxa"/>
          <w:shd w:val="clear" w:color="auto" w:fill="auto"/>
          <w:vAlign w:val="center"/>
        </w:tcPr>
        <w:p w14:paraId="3D46B0F5" w14:textId="73474A8E" w:rsidR="00D976C4" w:rsidRPr="002E4C92" w:rsidRDefault="00D976C4" w:rsidP="008D5B21">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2</w:t>
          </w:r>
          <w:r w:rsidRPr="0039525B">
            <w:rPr>
              <w:b w:val="0"/>
            </w:rPr>
            <w:t xml:space="preserve"> Lesson </w:t>
          </w:r>
          <w:r>
            <w:rPr>
              <w:b w:val="0"/>
            </w:rPr>
            <w:t>5, v2</w:t>
          </w:r>
          <w:r w:rsidRPr="002E4C92">
            <w:t xml:space="preserve"> Date:</w:t>
          </w:r>
          <w:r w:rsidRPr="0039525B">
            <w:rPr>
              <w:b w:val="0"/>
            </w:rPr>
            <w:t xml:space="preserve"> </w:t>
          </w:r>
          <w:r>
            <w:rPr>
              <w:b w:val="0"/>
            </w:rPr>
            <w:t>8</w:t>
          </w:r>
          <w:r w:rsidRPr="0039525B">
            <w:rPr>
              <w:b w:val="0"/>
            </w:rPr>
            <w:t>/</w:t>
          </w:r>
          <w:r>
            <w:rPr>
              <w:b w:val="0"/>
            </w:rPr>
            <w:t>31</w:t>
          </w:r>
          <w:r w:rsidRPr="0039525B">
            <w:rPr>
              <w:b w:val="0"/>
            </w:rPr>
            <w:t>/1</w:t>
          </w:r>
          <w:r w:rsidR="003E1255">
            <w:rPr>
              <w:b w:val="0"/>
            </w:rPr>
            <w:t>4</w:t>
          </w:r>
          <w:r w:rsidRPr="0039525B">
            <w:rPr>
              <w:b w:val="0"/>
            </w:rPr>
            <w:t xml:space="preserve"> </w:t>
          </w:r>
          <w:r w:rsidRPr="002E4C92">
            <w:t>Classroom Use:</w:t>
          </w:r>
          <w:r w:rsidRPr="0039525B">
            <w:rPr>
              <w:b w:val="0"/>
            </w:rPr>
            <w:t xml:space="preserve"> Starting</w:t>
          </w:r>
          <w:r>
            <w:rPr>
              <w:b w:val="0"/>
            </w:rPr>
            <w:t xml:space="preserve"> 9</w:t>
          </w:r>
          <w:r w:rsidRPr="0039525B">
            <w:rPr>
              <w:b w:val="0"/>
            </w:rPr>
            <w:t>/201</w:t>
          </w:r>
          <w:r w:rsidR="003E1255">
            <w:rPr>
              <w:b w:val="0"/>
            </w:rPr>
            <w:t>4</w:t>
          </w:r>
          <w:r w:rsidRPr="0039525B">
            <w:rPr>
              <w:b w:val="0"/>
            </w:rPr>
            <w:t xml:space="preserve"> </w:t>
          </w:r>
        </w:p>
        <w:p w14:paraId="5BFF6F4F" w14:textId="77777777" w:rsidR="00D976C4" w:rsidRPr="0039525B" w:rsidRDefault="00D976C4"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15E0E66" w14:textId="77777777" w:rsidR="00D976C4" w:rsidRPr="0039525B" w:rsidRDefault="00D976C4" w:rsidP="008D5B21">
          <w:pPr>
            <w:pStyle w:val="FooterText"/>
            <w:rPr>
              <w:b w:val="0"/>
              <w:i/>
            </w:rPr>
          </w:pPr>
          <w:r w:rsidRPr="0039525B">
            <w:rPr>
              <w:b w:val="0"/>
              <w:i/>
              <w:sz w:val="12"/>
            </w:rPr>
            <w:t>Creative Commons Attribution-NonCommercial-ShareAlike 3.0 Unported License</w:t>
          </w:r>
        </w:p>
        <w:p w14:paraId="405B640D" w14:textId="77777777" w:rsidR="00D976C4" w:rsidRPr="002E4C92" w:rsidRDefault="00BD47C5" w:rsidP="008D5B21">
          <w:pPr>
            <w:pStyle w:val="FooterText"/>
          </w:pPr>
          <w:hyperlink r:id="rId1" w:history="1">
            <w:r w:rsidR="00D976C4"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14:paraId="0D1A3073" w14:textId="77777777" w:rsidR="00D976C4" w:rsidRPr="002E4C92" w:rsidRDefault="00D976C4"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63AF9">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40C16A91" w14:textId="77777777" w:rsidR="00D976C4" w:rsidRPr="002E4C92" w:rsidRDefault="00D976C4"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5D4570E" wp14:editId="7E1C7CE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302C966" w14:textId="77777777" w:rsidR="00D976C4" w:rsidRPr="008D5B21" w:rsidRDefault="00D976C4" w:rsidP="008D5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2FA21" w14:textId="77777777" w:rsidR="003E1255" w:rsidRDefault="003E1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21DE8" w14:textId="77777777" w:rsidR="00BD47C5" w:rsidRDefault="00BD47C5">
      <w:pPr>
        <w:spacing w:before="0" w:after="0" w:line="240" w:lineRule="auto"/>
      </w:pPr>
      <w:r>
        <w:separator/>
      </w:r>
    </w:p>
  </w:footnote>
  <w:footnote w:type="continuationSeparator" w:id="0">
    <w:p w14:paraId="7B98E10B" w14:textId="77777777" w:rsidR="00BD47C5" w:rsidRDefault="00BD47C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62C5" w14:textId="77777777" w:rsidR="003E1255" w:rsidRDefault="003E1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1" w:type="pct"/>
      <w:tblInd w:w="18" w:type="dxa"/>
      <w:tblLook w:val="04A0" w:firstRow="1" w:lastRow="0" w:firstColumn="1" w:lastColumn="0" w:noHBand="0" w:noVBand="1"/>
    </w:tblPr>
    <w:tblGrid>
      <w:gridCol w:w="3713"/>
      <w:gridCol w:w="2424"/>
      <w:gridCol w:w="3403"/>
    </w:tblGrid>
    <w:tr w:rsidR="00D976C4" w:rsidRPr="00563CB8" w14:paraId="4F81B4E3" w14:textId="77777777" w:rsidTr="009D346E">
      <w:tc>
        <w:tcPr>
          <w:tcW w:w="3713" w:type="dxa"/>
          <w:shd w:val="clear" w:color="auto" w:fill="auto"/>
        </w:tcPr>
        <w:p w14:paraId="7C83C776" w14:textId="77777777" w:rsidR="00D976C4" w:rsidRPr="00563CB8" w:rsidRDefault="00D976C4"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687E6F6" w14:textId="77777777" w:rsidR="00D976C4" w:rsidRPr="00563CB8" w:rsidRDefault="00D976C4" w:rsidP="007017EB">
          <w:pPr>
            <w:jc w:val="center"/>
          </w:pPr>
          <w:r w:rsidRPr="00563CB8">
            <w:t>D R A F T</w:t>
          </w:r>
        </w:p>
      </w:tc>
      <w:tc>
        <w:tcPr>
          <w:tcW w:w="3403" w:type="dxa"/>
          <w:shd w:val="clear" w:color="auto" w:fill="auto"/>
        </w:tcPr>
        <w:p w14:paraId="06B45731" w14:textId="77777777" w:rsidR="00D976C4" w:rsidRPr="00E946A0" w:rsidRDefault="00D976C4" w:rsidP="00A5478B">
          <w:pPr>
            <w:pStyle w:val="PageHeader"/>
            <w:jc w:val="right"/>
            <w:rPr>
              <w:b w:val="0"/>
            </w:rPr>
          </w:pPr>
          <w:r>
            <w:rPr>
              <w:b w:val="0"/>
            </w:rPr>
            <w:t>Grade 9 • Module 1 • Unit 2 • Lesson 5</w:t>
          </w:r>
        </w:p>
      </w:tc>
    </w:tr>
  </w:tbl>
  <w:p w14:paraId="3E054A3F" w14:textId="77777777" w:rsidR="00D976C4" w:rsidRPr="007017EB" w:rsidRDefault="00D976C4"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AFCB" w14:textId="77777777" w:rsidR="003E1255" w:rsidRDefault="003E1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859A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D9901F58"/>
    <w:lvl w:ilvl="0" w:tplc="15026680">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1"/>
  </w:num>
  <w:num w:numId="7">
    <w:abstractNumId w:val="6"/>
    <w:lvlOverride w:ilvl="0">
      <w:startOverride w:val="1"/>
    </w:lvlOverride>
  </w:num>
  <w:num w:numId="8">
    <w:abstractNumId w:val="13"/>
  </w:num>
  <w:num w:numId="9">
    <w:abstractNumId w:val="2"/>
  </w:num>
  <w:num w:numId="10">
    <w:abstractNumId w:val="9"/>
  </w:num>
  <w:num w:numId="11">
    <w:abstractNumId w:val="14"/>
  </w:num>
  <w:num w:numId="12">
    <w:abstractNumId w:val="6"/>
  </w:num>
  <w:num w:numId="13">
    <w:abstractNumId w:val="6"/>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582A"/>
    <w:rsid w:val="00010170"/>
    <w:rsid w:val="000221F5"/>
    <w:rsid w:val="00031EC1"/>
    <w:rsid w:val="000422BF"/>
    <w:rsid w:val="00047FE3"/>
    <w:rsid w:val="0005168D"/>
    <w:rsid w:val="00061DE0"/>
    <w:rsid w:val="000660EB"/>
    <w:rsid w:val="00072A82"/>
    <w:rsid w:val="000856B0"/>
    <w:rsid w:val="000B3273"/>
    <w:rsid w:val="000B3A6F"/>
    <w:rsid w:val="000B7C8B"/>
    <w:rsid w:val="000D3FF1"/>
    <w:rsid w:val="000D7E38"/>
    <w:rsid w:val="000E4E74"/>
    <w:rsid w:val="000F2111"/>
    <w:rsid w:val="00115A38"/>
    <w:rsid w:val="001321F6"/>
    <w:rsid w:val="00136DA5"/>
    <w:rsid w:val="00144B97"/>
    <w:rsid w:val="00146AF9"/>
    <w:rsid w:val="00151BE1"/>
    <w:rsid w:val="001735F1"/>
    <w:rsid w:val="00182885"/>
    <w:rsid w:val="0018563B"/>
    <w:rsid w:val="00185F86"/>
    <w:rsid w:val="001941D2"/>
    <w:rsid w:val="001A5D6B"/>
    <w:rsid w:val="001B31FF"/>
    <w:rsid w:val="001E6ED4"/>
    <w:rsid w:val="001F4FB4"/>
    <w:rsid w:val="00206DAB"/>
    <w:rsid w:val="0021315A"/>
    <w:rsid w:val="00225082"/>
    <w:rsid w:val="00257B95"/>
    <w:rsid w:val="00263AF9"/>
    <w:rsid w:val="00270B2A"/>
    <w:rsid w:val="00293F58"/>
    <w:rsid w:val="002A45D0"/>
    <w:rsid w:val="002A762D"/>
    <w:rsid w:val="002B5921"/>
    <w:rsid w:val="002B65E1"/>
    <w:rsid w:val="00300E63"/>
    <w:rsid w:val="00302D12"/>
    <w:rsid w:val="00320094"/>
    <w:rsid w:val="00325366"/>
    <w:rsid w:val="00340D53"/>
    <w:rsid w:val="00341F48"/>
    <w:rsid w:val="00351BD4"/>
    <w:rsid w:val="00352B48"/>
    <w:rsid w:val="00353708"/>
    <w:rsid w:val="00355494"/>
    <w:rsid w:val="003750A3"/>
    <w:rsid w:val="00383F54"/>
    <w:rsid w:val="00394B25"/>
    <w:rsid w:val="003A2E25"/>
    <w:rsid w:val="003E1255"/>
    <w:rsid w:val="00420197"/>
    <w:rsid w:val="00422E28"/>
    <w:rsid w:val="00427054"/>
    <w:rsid w:val="004612E7"/>
    <w:rsid w:val="0046482B"/>
    <w:rsid w:val="0047422E"/>
    <w:rsid w:val="00492A70"/>
    <w:rsid w:val="004959DD"/>
    <w:rsid w:val="004A4C64"/>
    <w:rsid w:val="004B077C"/>
    <w:rsid w:val="004C0729"/>
    <w:rsid w:val="004D4D74"/>
    <w:rsid w:val="005212FA"/>
    <w:rsid w:val="00551BB2"/>
    <w:rsid w:val="0056255E"/>
    <w:rsid w:val="005847E4"/>
    <w:rsid w:val="00591284"/>
    <w:rsid w:val="00592DDB"/>
    <w:rsid w:val="0059443B"/>
    <w:rsid w:val="005A5524"/>
    <w:rsid w:val="005D3EF0"/>
    <w:rsid w:val="005F42B4"/>
    <w:rsid w:val="0061689D"/>
    <w:rsid w:val="00623EF5"/>
    <w:rsid w:val="00634506"/>
    <w:rsid w:val="00647975"/>
    <w:rsid w:val="00653BA5"/>
    <w:rsid w:val="00663A6D"/>
    <w:rsid w:val="0068331D"/>
    <w:rsid w:val="00694BF6"/>
    <w:rsid w:val="006A2115"/>
    <w:rsid w:val="006C4785"/>
    <w:rsid w:val="006D752C"/>
    <w:rsid w:val="007017EB"/>
    <w:rsid w:val="00717FB7"/>
    <w:rsid w:val="0077639F"/>
    <w:rsid w:val="00790BCC"/>
    <w:rsid w:val="007939D8"/>
    <w:rsid w:val="007D2598"/>
    <w:rsid w:val="007D36FF"/>
    <w:rsid w:val="007D704A"/>
    <w:rsid w:val="007E484F"/>
    <w:rsid w:val="0080221F"/>
    <w:rsid w:val="0080563D"/>
    <w:rsid w:val="0085006A"/>
    <w:rsid w:val="00860B4E"/>
    <w:rsid w:val="008627AF"/>
    <w:rsid w:val="008926F0"/>
    <w:rsid w:val="008C6E91"/>
    <w:rsid w:val="008D5B21"/>
    <w:rsid w:val="008E0122"/>
    <w:rsid w:val="008F7106"/>
    <w:rsid w:val="00902CF8"/>
    <w:rsid w:val="00944186"/>
    <w:rsid w:val="009450B7"/>
    <w:rsid w:val="009450F1"/>
    <w:rsid w:val="00971C98"/>
    <w:rsid w:val="009842B6"/>
    <w:rsid w:val="009A5FEF"/>
    <w:rsid w:val="009D346E"/>
    <w:rsid w:val="009D3D81"/>
    <w:rsid w:val="009D6F88"/>
    <w:rsid w:val="009E386B"/>
    <w:rsid w:val="00A07129"/>
    <w:rsid w:val="00A16356"/>
    <w:rsid w:val="00A5478B"/>
    <w:rsid w:val="00A66073"/>
    <w:rsid w:val="00A8001F"/>
    <w:rsid w:val="00A8487C"/>
    <w:rsid w:val="00AB34CE"/>
    <w:rsid w:val="00AB5CBE"/>
    <w:rsid w:val="00AB758D"/>
    <w:rsid w:val="00AC170B"/>
    <w:rsid w:val="00AD0AB8"/>
    <w:rsid w:val="00AD0FF3"/>
    <w:rsid w:val="00AD28C2"/>
    <w:rsid w:val="00AF125B"/>
    <w:rsid w:val="00AF6FE7"/>
    <w:rsid w:val="00B1711F"/>
    <w:rsid w:val="00B210BF"/>
    <w:rsid w:val="00B71D96"/>
    <w:rsid w:val="00B90C7C"/>
    <w:rsid w:val="00B90D09"/>
    <w:rsid w:val="00BA663F"/>
    <w:rsid w:val="00BB60E4"/>
    <w:rsid w:val="00BD47C5"/>
    <w:rsid w:val="00BD64C3"/>
    <w:rsid w:val="00BE5C13"/>
    <w:rsid w:val="00C1360B"/>
    <w:rsid w:val="00C2200F"/>
    <w:rsid w:val="00C45638"/>
    <w:rsid w:val="00C5159A"/>
    <w:rsid w:val="00C5268D"/>
    <w:rsid w:val="00C54475"/>
    <w:rsid w:val="00C62186"/>
    <w:rsid w:val="00CB64DA"/>
    <w:rsid w:val="00CD7FBB"/>
    <w:rsid w:val="00D31F4D"/>
    <w:rsid w:val="00D43571"/>
    <w:rsid w:val="00D67AAE"/>
    <w:rsid w:val="00D72E6F"/>
    <w:rsid w:val="00D911CD"/>
    <w:rsid w:val="00D93EA1"/>
    <w:rsid w:val="00D97314"/>
    <w:rsid w:val="00D976C4"/>
    <w:rsid w:val="00DA1433"/>
    <w:rsid w:val="00DB5E94"/>
    <w:rsid w:val="00DC6002"/>
    <w:rsid w:val="00DD32A8"/>
    <w:rsid w:val="00DD5988"/>
    <w:rsid w:val="00DF36AF"/>
    <w:rsid w:val="00E46E1B"/>
    <w:rsid w:val="00E505FA"/>
    <w:rsid w:val="00E5169F"/>
    <w:rsid w:val="00E57DDE"/>
    <w:rsid w:val="00E74125"/>
    <w:rsid w:val="00E7559A"/>
    <w:rsid w:val="00EA5069"/>
    <w:rsid w:val="00EC5C7C"/>
    <w:rsid w:val="00ED24E8"/>
    <w:rsid w:val="00EE757F"/>
    <w:rsid w:val="00EF13BD"/>
    <w:rsid w:val="00F136B7"/>
    <w:rsid w:val="00F27B3D"/>
    <w:rsid w:val="00F3782B"/>
    <w:rsid w:val="00F60215"/>
    <w:rsid w:val="00F665AD"/>
    <w:rsid w:val="00F67CE5"/>
    <w:rsid w:val="00F7269E"/>
    <w:rsid w:val="00F93466"/>
    <w:rsid w:val="00FA3DA3"/>
    <w:rsid w:val="00FA480E"/>
    <w:rsid w:val="00FD4EFA"/>
    <w:rsid w:val="00FE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3E236"/>
  <w15:docId w15:val="{6D97474E-5A4F-47BF-8BB7-3F0C12A2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F934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449D-84A8-442E-8721-C191D3D9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12207</Characters>
  <Application>Microsoft Office Word</Application>
  <DocSecurity>0</DocSecurity>
  <Lines>277</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2014-08-29T23:13:00Z</dcterms:created>
  <dcterms:modified xsi:type="dcterms:W3CDTF">2014-08-29T23:13:00Z</dcterms:modified>
</cp:coreProperties>
</file>